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993" w:rsidRPr="00C57A5A" w:rsidRDefault="00182993" w:rsidP="00182993">
      <w:pPr>
        <w:pStyle w:val="a5"/>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WG4 Meeting # 94-e-Bis</w:t>
      </w:r>
      <w:r>
        <w:rPr>
          <w:rFonts w:asciiTheme="minorHAnsi" w:eastAsiaTheme="minorEastAsia" w:hAnsiTheme="minorHAnsi" w:cs="Arial"/>
          <w:bCs/>
          <w:noProof w:val="0"/>
          <w:sz w:val="22"/>
          <w:szCs w:val="22"/>
          <w:lang w:eastAsia="zh-CN"/>
        </w:rPr>
        <w:t xml:space="preserve">                                             R4-200</w:t>
      </w:r>
      <w:r w:rsidR="007F67AA">
        <w:rPr>
          <w:rFonts w:ascii="Segoe UI" w:hAnsi="Segoe UI" w:cs="Segoe UI"/>
          <w:szCs w:val="18"/>
        </w:rPr>
        <w:t>3615</w:t>
      </w:r>
      <w:bookmarkStart w:id="0" w:name="_GoBack"/>
      <w:bookmarkEnd w:id="0"/>
    </w:p>
    <w:p w:rsidR="00182993" w:rsidRPr="009172D5" w:rsidRDefault="00182993" w:rsidP="00182993">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Electronic Meeting, 20</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30 Apr.,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82993">
        <w:rPr>
          <w:rFonts w:cs="Arial"/>
          <w:b/>
          <w:bCs/>
        </w:rPr>
        <w:t>6</w:t>
      </w:r>
      <w:r w:rsidR="00132EA3">
        <w:rPr>
          <w:rFonts w:cs="Arial"/>
          <w:b/>
          <w:bCs/>
        </w:rPr>
        <w:t>.</w:t>
      </w:r>
      <w:r w:rsidR="00182993">
        <w:rPr>
          <w:rFonts w:cs="Arial"/>
          <w:b/>
          <w:bCs/>
        </w:rPr>
        <w:t>1.5.7</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CE4C61">
        <w:rPr>
          <w:b/>
        </w:rPr>
        <w:t>TCI switch</w:t>
      </w:r>
      <w:r w:rsidR="0052593A">
        <w:rPr>
          <w:b/>
        </w:rPr>
        <w:t xml:space="preserve">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90012D" w:rsidRPr="008A2C2B" w:rsidRDefault="006734ED" w:rsidP="001E3BD8">
      <w:pPr>
        <w:jc w:val="both"/>
      </w:pPr>
      <w:r w:rsidRPr="008A2C2B">
        <w:t xml:space="preserve">In this paper, </w:t>
      </w:r>
      <w:r w:rsidR="009B38F0">
        <w:t>we provide our</w:t>
      </w:r>
      <w:r w:rsidRPr="008A2C2B">
        <w:t xml:space="preserve"> view on </w:t>
      </w:r>
      <w:r w:rsidR="0059185C">
        <w:t>TCI state switch</w:t>
      </w:r>
      <w:r w:rsidR="00DD7722" w:rsidRPr="008A2C2B">
        <w:t xml:space="preserve"> </w:t>
      </w:r>
      <w:r w:rsidR="00617CB4" w:rsidRPr="008A2C2B">
        <w:t>requirement</w:t>
      </w:r>
      <w:r w:rsidR="003330A1" w:rsidRPr="008A2C2B">
        <w:t>s</w:t>
      </w:r>
      <w:r w:rsidR="00617CB4" w:rsidRPr="008A2C2B">
        <w:t xml:space="preserve"> for NR-U</w:t>
      </w:r>
      <w:r w:rsidRPr="008A2C2B">
        <w:rPr>
          <w:lang w:val="en-GB"/>
        </w:rPr>
        <w:t xml:space="preserve">. </w:t>
      </w:r>
      <w:r w:rsidR="001E3BD8" w:rsidRPr="008A2C2B">
        <w:t xml:space="preserve"> </w:t>
      </w:r>
    </w:p>
    <w:p w:rsidR="00342381" w:rsidRPr="00342381" w:rsidRDefault="001E3BD8" w:rsidP="00342381">
      <w:pPr>
        <w:pStyle w:val="1"/>
        <w:numPr>
          <w:ilvl w:val="0"/>
          <w:numId w:val="1"/>
        </w:numPr>
        <w:rPr>
          <w:rFonts w:ascii="Calibri" w:hAnsi="Calibri"/>
        </w:rPr>
      </w:pPr>
      <w:r>
        <w:rPr>
          <w:rFonts w:ascii="Calibri" w:hAnsi="Calibri"/>
        </w:rPr>
        <w:t>Discussion</w:t>
      </w:r>
    </w:p>
    <w:p w:rsidR="00E84077" w:rsidRDefault="00EE223C" w:rsidP="00F87B6C">
      <w:pPr>
        <w:jc w:val="both"/>
        <w:rPr>
          <w:lang w:eastAsia="en-US"/>
        </w:rPr>
      </w:pPr>
      <w:r>
        <w:rPr>
          <w:lang w:eastAsia="en-US"/>
        </w:rPr>
        <w:t xml:space="preserve">In the previous meeting, the MAC based and RRC based TCI switch requirements for NR-U have been discussed as below: </w:t>
      </w:r>
    </w:p>
    <w:p w:rsidR="009B38F0" w:rsidRDefault="007F67AA" w:rsidP="00F87B6C">
      <w:pPr>
        <w:jc w:val="both"/>
        <w:rPr>
          <w:lang w:eastAsia="en-US"/>
        </w:rPr>
      </w:pPr>
      <w:r>
        <w:rPr>
          <w:noProof/>
        </w:rPr>
        <w:pict w14:anchorId="617085E1">
          <v:shapetype id="_x0000_t202" coordsize="21600,21600" o:spt="202" path="m,l,21600r21600,l21600,xe">
            <v:stroke joinstyle="miter"/>
            <v:path gradientshapeok="t" o:connecttype="rect"/>
          </v:shapetype>
          <v:shape id="Text Box 2" o:spid="_x0000_s1026" type="#_x0000_t202" style="position:absolute;left:0;text-align:left;margin-left:0;margin-top:0;width:477.9pt;height:355.4pt;z-index:25166028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">
            <v:textbox>
              <w:txbxContent>
                <w:p w:rsidR="003F1D4D" w:rsidRDefault="003F1D4D" w:rsidP="00E84077">
                  <w:pPr>
                    <w:spacing w:line="240" w:lineRule="auto"/>
                  </w:pPr>
                  <w:r>
                    <w:t xml:space="preserve">In RAN4#94e, </w:t>
                  </w:r>
                </w:p>
                <w:p w:rsidR="003F1D4D" w:rsidRPr="00AB6C87" w:rsidRDefault="003F1D4D" w:rsidP="00E84077">
                  <w:pPr>
                    <w:pStyle w:val="af5"/>
                    <w:numPr>
                      <w:ilvl w:val="0"/>
                      <w:numId w:val="7"/>
                    </w:numPr>
                    <w:spacing w:line="240" w:lineRule="auto"/>
                  </w:pPr>
                  <w:r w:rsidRPr="00AB6C87">
                    <w:rPr>
                      <w:lang w:val="en-GB"/>
                    </w:rPr>
                    <w:t xml:space="preserve">RRC-based: </w:t>
                  </w:r>
                </w:p>
                <w:p w:rsidR="003F1D4D" w:rsidRPr="00AB6C87" w:rsidRDefault="003F1D4D" w:rsidP="00E84077">
                  <w:pPr>
                    <w:pStyle w:val="af5"/>
                    <w:numPr>
                      <w:ilvl w:val="1"/>
                      <w:numId w:val="7"/>
                    </w:numPr>
                    <w:spacing w:line="240" w:lineRule="auto"/>
                  </w:pPr>
                  <w:r w:rsidRPr="00AB6C87">
                    <w:rPr>
                      <w:lang w:val="en-GB"/>
                    </w:rPr>
                    <w:t xml:space="preserve">FFS: need for RAN2 LS if the UE </w:t>
                  </w:r>
                  <w:r w:rsidRPr="00AB6C87">
                    <w:t>declares beam failure u</w:t>
                  </w:r>
                  <w:r w:rsidRPr="00AB6C87">
                    <w:rPr>
                      <w:lang w:val="en-GB"/>
                    </w:rPr>
                    <w:t>pon exceeding L</w:t>
                  </w:r>
                  <w:r w:rsidRPr="00AB6C87">
                    <w:t>1</w:t>
                  </w:r>
                  <w:r w:rsidRPr="00AB6C87">
                    <w:rPr>
                      <w:vertAlign w:val="subscript"/>
                    </w:rPr>
                    <w:t>RRC,unknown,max</w:t>
                  </w:r>
                  <w:r w:rsidRPr="00AB6C87">
                    <w:t xml:space="preserve"> or </w:t>
                  </w:r>
                  <w:r w:rsidRPr="00AB6C87">
                    <w:rPr>
                      <w:lang w:val="en-GB"/>
                    </w:rPr>
                    <w:t>L</w:t>
                  </w:r>
                  <w:r w:rsidRPr="00AB6C87">
                    <w:t>2</w:t>
                  </w:r>
                  <w:r w:rsidRPr="00AB6C87">
                    <w:rPr>
                      <w:vertAlign w:val="subscript"/>
                    </w:rPr>
                    <w:t>RRC,unknown,max</w:t>
                  </w:r>
                  <w:r w:rsidRPr="00AB6C87">
                    <w:rPr>
                      <w:lang w:val="en-GB"/>
                    </w:rPr>
                    <w:t xml:space="preserve"> </w:t>
                  </w:r>
                </w:p>
                <w:p w:rsidR="003F1D4D" w:rsidRDefault="003F1D4D" w:rsidP="00E84077">
                  <w:pPr>
                    <w:pStyle w:val="af5"/>
                    <w:spacing w:line="240" w:lineRule="auto"/>
                    <w:ind w:left="1080"/>
                  </w:pPr>
                </w:p>
                <w:p w:rsidR="003F1D4D" w:rsidRDefault="003F1D4D" w:rsidP="00E84077">
                  <w:pPr>
                    <w:spacing w:line="240" w:lineRule="auto"/>
                  </w:pPr>
                  <w:r>
                    <w:t xml:space="preserve">In RAN4#93, </w:t>
                  </w:r>
                </w:p>
                <w:p w:rsidR="003F1D4D" w:rsidRPr="00AB6C87" w:rsidRDefault="003F1D4D" w:rsidP="00E84077">
                  <w:pPr>
                    <w:numPr>
                      <w:ilvl w:val="0"/>
                      <w:numId w:val="8"/>
                    </w:numPr>
                    <w:tabs>
                      <w:tab w:val="num" w:pos="720"/>
                    </w:tabs>
                    <w:spacing w:line="240" w:lineRule="auto"/>
                  </w:pPr>
                  <w:r w:rsidRPr="00AB6C87">
                    <w:t>RRC-based:</w:t>
                  </w:r>
                </w:p>
                <w:p w:rsidR="003F1D4D" w:rsidRPr="00AB6C87" w:rsidRDefault="003F1D4D" w:rsidP="00E84077">
                  <w:pPr>
                    <w:numPr>
                      <w:ilvl w:val="1"/>
                      <w:numId w:val="8"/>
                    </w:numPr>
                    <w:tabs>
                      <w:tab w:val="num" w:pos="1440"/>
                    </w:tabs>
                    <w:spacing w:line="240" w:lineRule="auto"/>
                  </w:pPr>
                  <w:r w:rsidRPr="00AB6C87">
                    <w:t>L</w:t>
                  </w:r>
                  <w:r w:rsidRPr="00AB6C87">
                    <w:rPr>
                      <w:vertAlign w:val="subscript"/>
                    </w:rPr>
                    <w:t>RRC,known,max</w:t>
                  </w:r>
                  <w:r w:rsidRPr="00AB6C87">
                    <w:t xml:space="preserve"> =[2] for T</w:t>
                  </w:r>
                  <w:r w:rsidRPr="00AB6C87">
                    <w:rPr>
                      <w:vertAlign w:val="subscript"/>
                    </w:rPr>
                    <w:t>SSB</w:t>
                  </w:r>
                  <w:r w:rsidRPr="00AB6C87">
                    <w:t>≤40 ms, L</w:t>
                  </w:r>
                  <w:r w:rsidRPr="00AB6C87">
                    <w:rPr>
                      <w:vertAlign w:val="subscript"/>
                    </w:rPr>
                    <w:t>RRC,known,max</w:t>
                  </w:r>
                  <w:r w:rsidRPr="00AB6C87">
                    <w:t xml:space="preserve"> =[1] for T</w:t>
                  </w:r>
                  <w:r w:rsidRPr="00AB6C87">
                    <w:rPr>
                      <w:vertAlign w:val="subscript"/>
                    </w:rPr>
                    <w:t>SSB</w:t>
                  </w:r>
                  <w:r w:rsidRPr="00AB6C87">
                    <w:t>&gt;40 ms</w:t>
                  </w:r>
                  <w:r w:rsidRPr="00AB6C87">
                    <w:rPr>
                      <w:lang w:val="sv-SE"/>
                    </w:rPr>
                    <w:t xml:space="preserve"> </w:t>
                  </w:r>
                </w:p>
                <w:p w:rsidR="003F1D4D" w:rsidRPr="00AB6C87" w:rsidRDefault="003F1D4D" w:rsidP="00E84077">
                  <w:pPr>
                    <w:numPr>
                      <w:ilvl w:val="2"/>
                      <w:numId w:val="8"/>
                    </w:numPr>
                    <w:tabs>
                      <w:tab w:val="num" w:pos="2160"/>
                    </w:tabs>
                    <w:spacing w:line="240" w:lineRule="auto"/>
                  </w:pPr>
                  <w:r w:rsidRPr="00AB6C87">
                    <w:t>Upon exceeding L</w:t>
                  </w:r>
                  <w:r w:rsidRPr="00AB6C87">
                    <w:rPr>
                      <w:vertAlign w:val="subscript"/>
                    </w:rPr>
                    <w:t>RRC,known,max</w:t>
                  </w:r>
                  <w:r w:rsidRPr="00AB6C87">
                    <w:t xml:space="preserve"> the </w:t>
                  </w:r>
                  <w:r w:rsidRPr="00E84077">
                    <w:rPr>
                      <w:highlight w:val="cyan"/>
                    </w:rPr>
                    <w:t>UE may stop</w:t>
                  </w:r>
                  <w:r w:rsidRPr="00AB6C87">
                    <w:t xml:space="preserve"> the active TCI state switching procedure and </w:t>
                  </w:r>
                  <w:r w:rsidRPr="00CF55FE">
                    <w:rPr>
                      <w:highlight w:val="cyan"/>
                    </w:rPr>
                    <w:t>FF</w:t>
                  </w:r>
                  <w:r w:rsidRPr="00E84077">
                    <w:rPr>
                      <w:highlight w:val="cyan"/>
                    </w:rPr>
                    <w:t>S:</w:t>
                  </w:r>
                  <w:r w:rsidRPr="00AB6C87">
                    <w:t xml:space="preserve"> declare beam failure</w:t>
                  </w:r>
                </w:p>
                <w:p w:rsidR="003F1D4D" w:rsidRPr="00AB6C87" w:rsidRDefault="003F1D4D" w:rsidP="00E84077">
                  <w:pPr>
                    <w:numPr>
                      <w:ilvl w:val="0"/>
                      <w:numId w:val="8"/>
                    </w:numPr>
                    <w:tabs>
                      <w:tab w:val="num" w:pos="720"/>
                    </w:tabs>
                    <w:spacing w:line="240" w:lineRule="auto"/>
                  </w:pPr>
                  <w:r w:rsidRPr="00AB6C87">
                    <w:t>MAC-CE based:</w:t>
                  </w:r>
                </w:p>
                <w:p w:rsidR="003F1D4D" w:rsidRPr="00AB6C87" w:rsidRDefault="003F1D4D" w:rsidP="00E84077">
                  <w:pPr>
                    <w:numPr>
                      <w:ilvl w:val="1"/>
                      <w:numId w:val="8"/>
                    </w:numPr>
                    <w:tabs>
                      <w:tab w:val="num" w:pos="1440"/>
                    </w:tabs>
                    <w:spacing w:line="240" w:lineRule="auto"/>
                  </w:pPr>
                  <w:r w:rsidRPr="00AB6C87">
                    <w:t>L</w:t>
                  </w:r>
                  <w:r w:rsidRPr="00AB6C87">
                    <w:rPr>
                      <w:vertAlign w:val="subscript"/>
                    </w:rPr>
                    <w:t>MAC,known,max</w:t>
                  </w:r>
                  <w:r w:rsidRPr="00AB6C87">
                    <w:t xml:space="preserve"> =[2] for T</w:t>
                  </w:r>
                  <w:r w:rsidRPr="00AB6C87">
                    <w:rPr>
                      <w:vertAlign w:val="subscript"/>
                    </w:rPr>
                    <w:t>SSB</w:t>
                  </w:r>
                  <w:r w:rsidRPr="00AB6C87">
                    <w:t>≤40 ms, L</w:t>
                  </w:r>
                  <w:r w:rsidRPr="00AB6C87">
                    <w:rPr>
                      <w:vertAlign w:val="subscript"/>
                    </w:rPr>
                    <w:t>MAC,known,max</w:t>
                  </w:r>
                  <w:r w:rsidRPr="00AB6C87">
                    <w:t xml:space="preserve"> =[1] for T</w:t>
                  </w:r>
                  <w:r w:rsidRPr="00AB6C87">
                    <w:rPr>
                      <w:vertAlign w:val="subscript"/>
                    </w:rPr>
                    <w:t>SSB</w:t>
                  </w:r>
                  <w:r w:rsidRPr="00AB6C87">
                    <w:t>&gt;40 ms</w:t>
                  </w:r>
                  <w:r w:rsidRPr="00AB6C87">
                    <w:rPr>
                      <w:lang w:val="sv-SE"/>
                    </w:rPr>
                    <w:t xml:space="preserve"> </w:t>
                  </w:r>
                </w:p>
                <w:p w:rsidR="003F1D4D" w:rsidRDefault="003F1D4D" w:rsidP="00E84077">
                  <w:pPr>
                    <w:numPr>
                      <w:ilvl w:val="2"/>
                      <w:numId w:val="8"/>
                    </w:numPr>
                    <w:tabs>
                      <w:tab w:val="num" w:pos="2160"/>
                    </w:tabs>
                    <w:spacing w:line="240" w:lineRule="auto"/>
                  </w:pPr>
                  <w:r w:rsidRPr="00AB6C87">
                    <w:t>Upon exceeding L</w:t>
                  </w:r>
                  <w:r w:rsidRPr="00AB6C87">
                    <w:rPr>
                      <w:vertAlign w:val="subscript"/>
                    </w:rPr>
                    <w:t>MAC,known,max</w:t>
                  </w:r>
                  <w:r w:rsidRPr="00AB6C87">
                    <w:t xml:space="preserve"> the </w:t>
                  </w:r>
                  <w:r w:rsidRPr="00E84077">
                    <w:rPr>
                      <w:highlight w:val="cyan"/>
                    </w:rPr>
                    <w:t>UE may stop</w:t>
                  </w:r>
                  <w:r w:rsidRPr="00AB6C87">
                    <w:t xml:space="preserve"> the active TCI state switching procedure and </w:t>
                  </w:r>
                  <w:r w:rsidRPr="00E84077">
                    <w:rPr>
                      <w:highlight w:val="cyan"/>
                    </w:rPr>
                    <w:t>FFS:</w:t>
                  </w:r>
                  <w:r w:rsidRPr="00AB6C87">
                    <w:t xml:space="preserve"> stay in the old state</w:t>
                  </w:r>
                </w:p>
              </w:txbxContent>
            </v:textbox>
          </v:shape>
        </w:pict>
      </w:r>
    </w:p>
    <w:p w:rsidR="009B38F0" w:rsidRDefault="009B38F0" w:rsidP="00F87B6C">
      <w:pPr>
        <w:jc w:val="both"/>
        <w:rPr>
          <w:lang w:eastAsia="en-US"/>
        </w:rPr>
      </w:pPr>
    </w:p>
    <w:p w:rsidR="009B38F0" w:rsidRDefault="009B38F0" w:rsidP="00F87B6C">
      <w:pPr>
        <w:jc w:val="both"/>
        <w:rPr>
          <w:lang w:eastAsia="en-US"/>
        </w:rPr>
      </w:pPr>
    </w:p>
    <w:p w:rsidR="009B38F0" w:rsidRDefault="009B38F0" w:rsidP="00F87B6C">
      <w:pPr>
        <w:jc w:val="both"/>
        <w:rPr>
          <w:lang w:eastAsia="en-US"/>
        </w:rPr>
      </w:pPr>
    </w:p>
    <w:p w:rsidR="00E84077" w:rsidRDefault="00E84077" w:rsidP="00F87B6C">
      <w:pPr>
        <w:jc w:val="both"/>
        <w:rPr>
          <w:lang w:eastAsia="en-US"/>
        </w:rPr>
      </w:pPr>
    </w:p>
    <w:p w:rsidR="00E84077" w:rsidRDefault="00E84077" w:rsidP="00F87B6C">
      <w:pPr>
        <w:jc w:val="both"/>
        <w:rPr>
          <w:lang w:eastAsia="en-US"/>
        </w:rPr>
      </w:pPr>
    </w:p>
    <w:p w:rsidR="00E84077" w:rsidRDefault="00E84077" w:rsidP="00F87B6C">
      <w:pPr>
        <w:jc w:val="both"/>
        <w:rPr>
          <w:lang w:eastAsia="en-US"/>
        </w:rPr>
      </w:pPr>
    </w:p>
    <w:p w:rsidR="00E84077" w:rsidRDefault="00E84077" w:rsidP="00F87B6C">
      <w:pPr>
        <w:jc w:val="both"/>
        <w:rPr>
          <w:lang w:eastAsia="en-US"/>
        </w:rPr>
      </w:pPr>
    </w:p>
    <w:p w:rsidR="00E84077" w:rsidRDefault="00E84077" w:rsidP="00F87B6C">
      <w:pPr>
        <w:jc w:val="both"/>
        <w:rPr>
          <w:lang w:eastAsia="en-US"/>
        </w:rPr>
      </w:pPr>
    </w:p>
    <w:p w:rsidR="00E84077" w:rsidRDefault="00E84077" w:rsidP="00F87B6C">
      <w:pPr>
        <w:jc w:val="both"/>
        <w:rPr>
          <w:lang w:eastAsia="en-US"/>
        </w:rPr>
      </w:pPr>
    </w:p>
    <w:p w:rsidR="00E84077" w:rsidRDefault="00E84077" w:rsidP="00F87B6C">
      <w:pPr>
        <w:jc w:val="both"/>
        <w:rPr>
          <w:lang w:eastAsia="en-US"/>
        </w:rPr>
      </w:pPr>
    </w:p>
    <w:p w:rsidR="008F65B3" w:rsidRDefault="008F65B3" w:rsidP="00F87B6C">
      <w:pPr>
        <w:jc w:val="both"/>
        <w:rPr>
          <w:lang w:eastAsia="en-US"/>
        </w:rPr>
      </w:pPr>
    </w:p>
    <w:p w:rsidR="008F65B3" w:rsidRDefault="008F65B3" w:rsidP="00F87B6C">
      <w:pPr>
        <w:jc w:val="both"/>
        <w:rPr>
          <w:lang w:eastAsia="en-US"/>
        </w:rPr>
      </w:pPr>
    </w:p>
    <w:p w:rsidR="008F65B3" w:rsidRDefault="008F65B3" w:rsidP="00F87B6C">
      <w:pPr>
        <w:jc w:val="both"/>
        <w:rPr>
          <w:lang w:eastAsia="en-US"/>
        </w:rPr>
      </w:pPr>
    </w:p>
    <w:p w:rsidR="0013646F" w:rsidRDefault="0013646F" w:rsidP="00F87B6C">
      <w:pPr>
        <w:jc w:val="both"/>
        <w:rPr>
          <w:b/>
          <w:u w:val="single"/>
        </w:rPr>
      </w:pPr>
    </w:p>
    <w:p w:rsidR="0013646F" w:rsidRDefault="0013646F">
      <w:pPr>
        <w:spacing w:after="0" w:line="240" w:lineRule="auto"/>
        <w:rPr>
          <w:b/>
          <w:u w:val="single"/>
        </w:rPr>
      </w:pPr>
      <w:r>
        <w:rPr>
          <w:b/>
          <w:u w:val="single"/>
        </w:rPr>
        <w:br w:type="page"/>
      </w:r>
    </w:p>
    <w:p w:rsidR="00E84077" w:rsidRDefault="00D744BF" w:rsidP="00F87B6C">
      <w:pPr>
        <w:jc w:val="both"/>
        <w:rPr>
          <w:lang w:eastAsia="en-US"/>
        </w:rPr>
      </w:pPr>
      <w:r w:rsidRPr="00025FA8">
        <w:rPr>
          <w:b/>
          <w:u w:val="single"/>
        </w:rPr>
        <w:lastRenderedPageBreak/>
        <w:t>RRC based TCI switch</w:t>
      </w:r>
    </w:p>
    <w:p w:rsidR="00843475" w:rsidRDefault="008A4B2D" w:rsidP="00634F14">
      <w:pPr>
        <w:jc w:val="both"/>
      </w:pPr>
      <w:r>
        <w:t>For RRC-based</w:t>
      </w:r>
      <w:r w:rsidR="008F24F1">
        <w:t xml:space="preserve"> TCI switch</w:t>
      </w:r>
      <w:r>
        <w:t xml:space="preserve">, </w:t>
      </w:r>
      <w:r w:rsidR="002E1044">
        <w:t>it has being discussed the UE behavior when the</w:t>
      </w:r>
      <w:r w:rsidR="00C33F75">
        <w:t xml:space="preserve"> TCI</w:t>
      </w:r>
      <w:r w:rsidR="002E1044">
        <w:t xml:space="preserve"> switch delay is extended too long. </w:t>
      </w:r>
      <w:r w:rsidR="006A0682">
        <w:t>In this scenario, it assumed only one TCI state in the RRC table, so when the TCI is reconfigured, then the old TCI would be flushed away</w:t>
      </w:r>
      <w:r w:rsidR="00843475">
        <w:t xml:space="preserve">. </w:t>
      </w:r>
    </w:p>
    <w:p w:rsidR="00D744BF" w:rsidRDefault="00843475" w:rsidP="00634F14">
      <w:pPr>
        <w:jc w:val="both"/>
      </w:pPr>
      <w:r>
        <w:t>And it can be observed that b</w:t>
      </w:r>
      <w:r w:rsidRPr="00843475">
        <w:t>eam failure detection and radio link monitoring will automatically take place</w:t>
      </w:r>
      <w:r w:rsidR="00F55B76">
        <w:t xml:space="preserve">, and no new mechanism to declare beam failure based on TCI switch is needed. </w:t>
      </w:r>
      <w:r>
        <w:t>If the RLM-RS and BFD-RS are explicitly configured</w:t>
      </w:r>
      <w:r w:rsidR="00C37ABB">
        <w:t xml:space="preserve"> in </w:t>
      </w:r>
      <w:r w:rsidR="00C37ABB" w:rsidRPr="00A65BAE">
        <w:rPr>
          <w:i/>
        </w:rPr>
        <w:t>RadioLinkMonitoringRS</w:t>
      </w:r>
      <w:r>
        <w:t xml:space="preserve">, the BFD and RLM will </w:t>
      </w:r>
      <w:r w:rsidR="00F55B76">
        <w:t>take place</w:t>
      </w:r>
      <w:r>
        <w:t xml:space="preserve"> regardless the TCI reconfiguration. If the RLM-RS and BFD-RS are implicitly configured, the </w:t>
      </w:r>
      <w:r w:rsidRPr="00843475">
        <w:t>corresponding beam failure recovery and R</w:t>
      </w:r>
      <w:r w:rsidR="00F55B76">
        <w:t>LF</w:t>
      </w:r>
      <w:r w:rsidRPr="00843475">
        <w:t xml:space="preserve"> will be triggered</w:t>
      </w:r>
      <w:r>
        <w:t xml:space="preserve"> when the </w:t>
      </w:r>
      <w:r w:rsidRPr="00843475">
        <w:t>new TCI is not available for a long time</w:t>
      </w:r>
      <w:r w:rsidR="00F55B76">
        <w:t>, subject to the BFD/RLM requirement for NR-U</w:t>
      </w:r>
      <w:r>
        <w:t xml:space="preserve">. </w:t>
      </w:r>
    </w:p>
    <w:p w:rsidR="00F55B76" w:rsidRPr="00D334E1" w:rsidRDefault="00F55B76" w:rsidP="00F55B76">
      <w:pPr>
        <w:jc w:val="both"/>
      </w:pPr>
      <w:bookmarkStart w:id="1" w:name="_Ref37408887"/>
      <w:r w:rsidRPr="00390FE1">
        <w:rPr>
          <w:rFonts w:eastAsia="SimSun" w:cs="Arial"/>
          <w:b/>
          <w:bCs/>
        </w:rPr>
        <w:t xml:space="preserve">Observation </w:t>
      </w:r>
      <w:r w:rsidR="002F3AF6" w:rsidRPr="00390FE1">
        <w:rPr>
          <w:rFonts w:eastAsia="SimSun" w:cs="Arial"/>
          <w:b/>
          <w:bCs/>
        </w:rPr>
        <w:fldChar w:fldCharType="begin"/>
      </w:r>
      <w:r w:rsidRPr="00390FE1">
        <w:rPr>
          <w:rFonts w:eastAsia="SimSun" w:cs="Arial"/>
          <w:b/>
          <w:bCs/>
        </w:rPr>
        <w:instrText xml:space="preserve"> SEQ Observation \* ARABIC </w:instrText>
      </w:r>
      <w:r w:rsidR="002F3AF6" w:rsidRPr="00390FE1">
        <w:rPr>
          <w:rFonts w:eastAsia="SimSun" w:cs="Arial"/>
          <w:b/>
          <w:bCs/>
        </w:rPr>
        <w:fldChar w:fldCharType="separate"/>
      </w:r>
      <w:r w:rsidR="008D7B1C">
        <w:rPr>
          <w:rFonts w:eastAsia="SimSun" w:cs="Arial"/>
          <w:b/>
          <w:bCs/>
          <w:noProof/>
        </w:rPr>
        <w:t>1</w:t>
      </w:r>
      <w:r w:rsidR="002F3AF6" w:rsidRPr="00390FE1">
        <w:rPr>
          <w:rFonts w:eastAsia="SimSun" w:cs="Arial"/>
          <w:b/>
          <w:bCs/>
        </w:rPr>
        <w:fldChar w:fldCharType="end"/>
      </w:r>
      <w:r w:rsidRPr="00390FE1">
        <w:rPr>
          <w:rFonts w:eastAsia="SimSun" w:cs="Arial"/>
          <w:b/>
          <w:bCs/>
        </w:rPr>
        <w:t>:</w:t>
      </w:r>
      <w:r w:rsidRPr="00F55B76">
        <w:rPr>
          <w:rFonts w:eastAsia="SimSun" w:cs="Arial"/>
          <w:b/>
          <w:bCs/>
        </w:rPr>
        <w:t xml:space="preserve"> </w:t>
      </w:r>
      <w:r w:rsidRPr="00F55B76">
        <w:rPr>
          <w:b/>
        </w:rPr>
        <w:t xml:space="preserve">If the RLM-RS and BFD-RS are explicitly configured in </w:t>
      </w:r>
      <w:r w:rsidRPr="00F55B76">
        <w:rPr>
          <w:b/>
          <w:i/>
        </w:rPr>
        <w:t>RadioLinkMonitoringRS</w:t>
      </w:r>
      <w:r w:rsidRPr="00F55B76">
        <w:rPr>
          <w:b/>
        </w:rPr>
        <w:t>, the BFD and RLM will take place regardless the TCI reconfiguration.</w:t>
      </w:r>
      <w:bookmarkEnd w:id="1"/>
    </w:p>
    <w:p w:rsidR="00F55B76" w:rsidRDefault="00F55B76" w:rsidP="00F55B76">
      <w:pPr>
        <w:jc w:val="both"/>
        <w:rPr>
          <w:b/>
        </w:rPr>
      </w:pPr>
      <w:bookmarkStart w:id="2" w:name="_Ref37408890"/>
      <w:r w:rsidRPr="00390FE1">
        <w:rPr>
          <w:rFonts w:eastAsia="SimSun" w:cs="Arial"/>
          <w:b/>
          <w:bCs/>
        </w:rPr>
        <w:t xml:space="preserve">Observation </w:t>
      </w:r>
      <w:r w:rsidR="002F3AF6" w:rsidRPr="00390FE1">
        <w:rPr>
          <w:rFonts w:eastAsia="SimSun" w:cs="Arial"/>
          <w:b/>
          <w:bCs/>
        </w:rPr>
        <w:fldChar w:fldCharType="begin"/>
      </w:r>
      <w:r w:rsidRPr="00390FE1">
        <w:rPr>
          <w:rFonts w:eastAsia="SimSun" w:cs="Arial"/>
          <w:b/>
          <w:bCs/>
        </w:rPr>
        <w:instrText xml:space="preserve"> SEQ Observation \* ARABIC </w:instrText>
      </w:r>
      <w:r w:rsidR="002F3AF6" w:rsidRPr="00390FE1">
        <w:rPr>
          <w:rFonts w:eastAsia="SimSun" w:cs="Arial"/>
          <w:b/>
          <w:bCs/>
        </w:rPr>
        <w:fldChar w:fldCharType="separate"/>
      </w:r>
      <w:r w:rsidR="008D7B1C">
        <w:rPr>
          <w:rFonts w:eastAsia="SimSun" w:cs="Arial"/>
          <w:b/>
          <w:bCs/>
          <w:noProof/>
        </w:rPr>
        <w:t>2</w:t>
      </w:r>
      <w:r w:rsidR="002F3AF6" w:rsidRPr="00390FE1">
        <w:rPr>
          <w:rFonts w:eastAsia="SimSun" w:cs="Arial"/>
          <w:b/>
          <w:bCs/>
        </w:rPr>
        <w:fldChar w:fldCharType="end"/>
      </w:r>
      <w:r w:rsidRPr="00F55B76">
        <w:rPr>
          <w:rFonts w:eastAsia="SimSun" w:cs="Arial"/>
          <w:b/>
          <w:bCs/>
        </w:rPr>
        <w:t xml:space="preserve">: </w:t>
      </w:r>
      <w:r w:rsidRPr="00F55B76">
        <w:rPr>
          <w:b/>
        </w:rPr>
        <w:t>If the RLM-RS and BFD-RS are implicitly configured, the corresponding beam failure recovery and RLF will be triggered when the new TCI is not available for a long time.</w:t>
      </w:r>
      <w:bookmarkEnd w:id="2"/>
    </w:p>
    <w:p w:rsidR="000F1C3F" w:rsidRPr="00051A6B" w:rsidRDefault="0013646F" w:rsidP="000F1C3F">
      <w:pPr>
        <w:jc w:val="both"/>
      </w:pPr>
      <w:r>
        <w:t>In addition</w:t>
      </w:r>
      <w:r w:rsidR="000F1C3F" w:rsidRPr="009F16C2">
        <w:t xml:space="preserve">, one beam failure indication could not trigger beam failure recovery procedure, if </w:t>
      </w:r>
      <w:r w:rsidR="000F1C3F" w:rsidRPr="00E9388B">
        <w:rPr>
          <w:i/>
          <w:lang w:val="en-GB" w:eastAsia="ja-JP"/>
        </w:rPr>
        <w:t>beamFailureInstanceMaxCount</w:t>
      </w:r>
      <w:r w:rsidR="000F1C3F" w:rsidRPr="00E9388B">
        <w:rPr>
          <w:lang w:val="en-GB" w:eastAsia="ja-JP"/>
        </w:rPr>
        <w:t xml:space="preserve"> is larger than one.</w:t>
      </w:r>
    </w:p>
    <w:p w:rsidR="008F65B3" w:rsidRPr="008F65B3" w:rsidRDefault="000F1C3F" w:rsidP="00F55B76">
      <w:pPr>
        <w:jc w:val="both"/>
        <w:rPr>
          <w:rFonts w:eastAsia="SimSun" w:cs="Arial"/>
          <w:b/>
          <w:bCs/>
        </w:rPr>
      </w:pPr>
      <w:bookmarkStart w:id="3" w:name="_Ref37408893"/>
      <w:r w:rsidRPr="00390FE1">
        <w:rPr>
          <w:rFonts w:eastAsia="SimSun" w:cs="Arial"/>
          <w:b/>
          <w:bCs/>
        </w:rPr>
        <w:t xml:space="preserve">Observation </w:t>
      </w:r>
      <w:r w:rsidR="002F3AF6" w:rsidRPr="00390FE1">
        <w:rPr>
          <w:rFonts w:eastAsia="SimSun" w:cs="Arial"/>
          <w:b/>
          <w:bCs/>
        </w:rPr>
        <w:fldChar w:fldCharType="begin"/>
      </w:r>
      <w:r w:rsidRPr="00390FE1">
        <w:rPr>
          <w:rFonts w:eastAsia="SimSun" w:cs="Arial"/>
          <w:b/>
          <w:bCs/>
        </w:rPr>
        <w:instrText xml:space="preserve"> SEQ Observation \* ARABIC </w:instrText>
      </w:r>
      <w:r w:rsidR="002F3AF6" w:rsidRPr="00390FE1">
        <w:rPr>
          <w:rFonts w:eastAsia="SimSun" w:cs="Arial"/>
          <w:b/>
          <w:bCs/>
        </w:rPr>
        <w:fldChar w:fldCharType="separate"/>
      </w:r>
      <w:r w:rsidR="008D7B1C">
        <w:rPr>
          <w:rFonts w:eastAsia="SimSun" w:cs="Arial"/>
          <w:b/>
          <w:bCs/>
          <w:noProof/>
        </w:rPr>
        <w:t>3</w:t>
      </w:r>
      <w:r w:rsidR="002F3AF6" w:rsidRPr="00390FE1">
        <w:rPr>
          <w:rFonts w:eastAsia="SimSun" w:cs="Arial"/>
          <w:b/>
          <w:bCs/>
        </w:rPr>
        <w:fldChar w:fldCharType="end"/>
      </w:r>
      <w:r w:rsidRPr="00F55B76">
        <w:rPr>
          <w:rFonts w:eastAsia="SimSun" w:cs="Arial"/>
          <w:b/>
          <w:bCs/>
        </w:rPr>
        <w:t xml:space="preserve">: </w:t>
      </w:r>
      <w:r w:rsidR="008008E4">
        <w:rPr>
          <w:rFonts w:eastAsia="SimSun" w:cs="Arial"/>
          <w:b/>
          <w:bCs/>
        </w:rPr>
        <w:t xml:space="preserve">Only one </w:t>
      </w:r>
      <w:r w:rsidR="008008E4" w:rsidRPr="0013646F">
        <w:rPr>
          <w:b/>
        </w:rPr>
        <w:t xml:space="preserve">indication </w:t>
      </w:r>
      <w:r w:rsidR="008008E4">
        <w:rPr>
          <w:b/>
        </w:rPr>
        <w:t>of beam failure triggered by</w:t>
      </w:r>
      <w:r w:rsidR="008008E4" w:rsidRPr="0013646F">
        <w:rPr>
          <w:b/>
        </w:rPr>
        <w:t xml:space="preserve"> RRC based TCI switch</w:t>
      </w:r>
      <w:r w:rsidR="008008E4">
        <w:rPr>
          <w:b/>
        </w:rPr>
        <w:t xml:space="preserve"> procedure </w:t>
      </w:r>
      <w:r w:rsidR="008008E4">
        <w:rPr>
          <w:rFonts w:eastAsia="SimSun" w:cs="Arial"/>
          <w:b/>
          <w:bCs/>
        </w:rPr>
        <w:t>would be useless,</w:t>
      </w:r>
      <w:r w:rsidR="008F65B3">
        <w:rPr>
          <w:b/>
        </w:rPr>
        <w:t xml:space="preserve"> when</w:t>
      </w:r>
      <w:r w:rsidR="00D07C02" w:rsidRPr="00051A6B">
        <w:rPr>
          <w:b/>
        </w:rPr>
        <w:t xml:space="preserve"> </w:t>
      </w:r>
      <w:r w:rsidR="00D07C02" w:rsidRPr="00051A6B">
        <w:rPr>
          <w:b/>
          <w:i/>
          <w:lang w:val="en-GB" w:eastAsia="ja-JP"/>
        </w:rPr>
        <w:t>beamFailureInstanceMaxCount</w:t>
      </w:r>
      <w:r w:rsidR="00D07C02" w:rsidRPr="00051A6B">
        <w:rPr>
          <w:b/>
          <w:lang w:val="en-GB" w:eastAsia="ja-JP"/>
        </w:rPr>
        <w:t xml:space="preserve"> is larger than one</w:t>
      </w:r>
      <w:r w:rsidRPr="00F55B76">
        <w:rPr>
          <w:b/>
        </w:rPr>
        <w:t>.</w:t>
      </w:r>
      <w:bookmarkEnd w:id="3"/>
      <w:r w:rsidR="008008E4">
        <w:rPr>
          <w:b/>
        </w:rPr>
        <w:t xml:space="preserve"> </w:t>
      </w:r>
    </w:p>
    <w:p w:rsidR="005B7AFE" w:rsidRDefault="005B7AFE" w:rsidP="005B7AFE">
      <w:pPr>
        <w:jc w:val="both"/>
      </w:pPr>
      <w:r>
        <w:t xml:space="preserve">Since the </w:t>
      </w:r>
      <w:r w:rsidRPr="0012751B">
        <w:t>DL LBT failures is known at network</w:t>
      </w:r>
      <w:r>
        <w:t xml:space="preserve">, </w:t>
      </w:r>
      <w:r w:rsidRPr="00A81C6F">
        <w:t>upon exceeding L</w:t>
      </w:r>
      <w:r>
        <w:rPr>
          <w:vertAlign w:val="subscript"/>
        </w:rPr>
        <w:t>RRC</w:t>
      </w:r>
      <w:r w:rsidRPr="00A81C6F">
        <w:rPr>
          <w:vertAlign w:val="subscript"/>
        </w:rPr>
        <w:t>,max</w:t>
      </w:r>
      <w:r>
        <w:t xml:space="preserve">, network is able to re-trigger another up-to-date TCI to override the original TCI switch command, either though time resource other than DRS transmission or through other cells. Note that consistent LBT failure on DRS transmission does not means network has no </w:t>
      </w:r>
      <w:r w:rsidRPr="00F65000">
        <w:t xml:space="preserve">chance to further update the TCI-sate through </w:t>
      </w:r>
      <w:r>
        <w:t>data channels</w:t>
      </w:r>
      <w:r w:rsidRPr="00F65000">
        <w:t xml:space="preserve">. </w:t>
      </w:r>
    </w:p>
    <w:p w:rsidR="005B7AFE" w:rsidRPr="00CF1A23" w:rsidRDefault="005B7AFE" w:rsidP="005B7AFE">
      <w:pPr>
        <w:jc w:val="both"/>
        <w:rPr>
          <w:lang w:eastAsia="en-US"/>
        </w:rPr>
      </w:pPr>
      <w:bookmarkStart w:id="4" w:name="_Ref31884264"/>
      <w:bookmarkStart w:id="5" w:name="_Ref37020971"/>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8D7B1C">
        <w:rPr>
          <w:rFonts w:ascii="Calibri" w:eastAsia="SimSun" w:hAnsi="Calibri" w:cs="Arial"/>
          <w:b/>
          <w:bCs/>
          <w:noProof/>
        </w:rPr>
        <w:t>4</w:t>
      </w:r>
      <w:r w:rsidRPr="003B4CA6">
        <w:rPr>
          <w:rFonts w:ascii="Calibri" w:eastAsia="SimSun" w:hAnsi="Calibri" w:cs="Arial"/>
          <w:b/>
          <w:bCs/>
        </w:rPr>
        <w:fldChar w:fldCharType="end"/>
      </w:r>
      <w:r w:rsidRPr="003B4CA6">
        <w:rPr>
          <w:rFonts w:ascii="Calibri" w:eastAsia="SimSun" w:hAnsi="Calibri" w:cs="Arial"/>
          <w:b/>
          <w:bCs/>
        </w:rPr>
        <w:t xml:space="preserve">: </w:t>
      </w:r>
      <w:r>
        <w:rPr>
          <w:rFonts w:ascii="Calibri" w:eastAsia="SimSun" w:hAnsi="Calibri" w:cs="Arial"/>
          <w:b/>
          <w:bCs/>
        </w:rPr>
        <w:t xml:space="preserve">Since </w:t>
      </w:r>
      <w:r>
        <w:rPr>
          <w:b/>
        </w:rPr>
        <w:t>the DL LBT failure is known at network, network can trigger another new TCI state switch</w:t>
      </w:r>
      <w:r w:rsidRPr="006D7F9E">
        <w:rPr>
          <w:b/>
        </w:rPr>
        <w:t>, upon exceeding L</w:t>
      </w:r>
      <w:r w:rsidRPr="006D7F9E">
        <w:rPr>
          <w:b/>
          <w:vertAlign w:val="subscript"/>
        </w:rPr>
        <w:t>RRC,max</w:t>
      </w:r>
      <w:r>
        <w:rPr>
          <w:b/>
        </w:rPr>
        <w:t>.</w:t>
      </w:r>
      <w:bookmarkEnd w:id="4"/>
      <w:r>
        <w:rPr>
          <w:b/>
        </w:rPr>
        <w:t xml:space="preserve"> </w:t>
      </w:r>
      <w:bookmarkEnd w:id="5"/>
    </w:p>
    <w:p w:rsidR="008F65B3" w:rsidRDefault="008F65B3" w:rsidP="000F1C3F">
      <w:pPr>
        <w:pStyle w:val="af1"/>
        <w:jc w:val="both"/>
        <w:rPr>
          <w:b w:val="0"/>
          <w:sz w:val="22"/>
          <w:szCs w:val="22"/>
        </w:rPr>
      </w:pPr>
      <w:r>
        <w:rPr>
          <w:b w:val="0"/>
          <w:sz w:val="22"/>
          <w:szCs w:val="22"/>
        </w:rPr>
        <w:t xml:space="preserve">Therefore, the specific requirement for </w:t>
      </w:r>
      <w:r w:rsidR="0013646F" w:rsidRPr="0013646F">
        <w:rPr>
          <w:b w:val="0"/>
          <w:sz w:val="22"/>
          <w:szCs w:val="22"/>
        </w:rPr>
        <w:t xml:space="preserve">beam failure indication </w:t>
      </w:r>
      <w:r w:rsidR="00BC4ADA" w:rsidRPr="00BC4ADA">
        <w:rPr>
          <w:b w:val="0"/>
          <w:sz w:val="22"/>
          <w:szCs w:val="22"/>
        </w:rPr>
        <w:t>upon exceeding L</w:t>
      </w:r>
      <w:r w:rsidR="00BC4ADA" w:rsidRPr="00BC4ADA">
        <w:rPr>
          <w:b w:val="0"/>
          <w:sz w:val="22"/>
          <w:szCs w:val="22"/>
          <w:vertAlign w:val="subscript"/>
        </w:rPr>
        <w:t>RRC,known,max</w:t>
      </w:r>
      <w:r w:rsidR="00BC4ADA">
        <w:rPr>
          <w:b w:val="0"/>
          <w:sz w:val="22"/>
          <w:szCs w:val="22"/>
        </w:rPr>
        <w:t xml:space="preserve"> </w:t>
      </w:r>
      <w:r w:rsidR="008008E4">
        <w:rPr>
          <w:b w:val="0"/>
          <w:sz w:val="22"/>
          <w:szCs w:val="22"/>
        </w:rPr>
        <w:t xml:space="preserve">is not necessary, </w:t>
      </w:r>
      <w:r w:rsidR="005B7AFE">
        <w:rPr>
          <w:b w:val="0"/>
          <w:sz w:val="22"/>
          <w:szCs w:val="22"/>
        </w:rPr>
        <w:t>based on the above observations</w:t>
      </w:r>
      <w:r w:rsidR="008008E4">
        <w:rPr>
          <w:b w:val="0"/>
          <w:sz w:val="22"/>
          <w:szCs w:val="22"/>
        </w:rPr>
        <w:t xml:space="preserve">. </w:t>
      </w:r>
      <w:r w:rsidR="0013646F">
        <w:rPr>
          <w:b w:val="0"/>
          <w:sz w:val="22"/>
          <w:szCs w:val="22"/>
        </w:rPr>
        <w:t xml:space="preserve"> </w:t>
      </w:r>
    </w:p>
    <w:p w:rsidR="00BC4ADA" w:rsidRDefault="00BC4ADA" w:rsidP="00BC4ADA">
      <w:pPr>
        <w:pStyle w:val="af1"/>
        <w:jc w:val="both"/>
        <w:rPr>
          <w:sz w:val="22"/>
          <w:szCs w:val="22"/>
        </w:rPr>
      </w:pPr>
      <w:bookmarkStart w:id="6" w:name="_Ref37020980"/>
      <w:r w:rsidRPr="00A81C6F">
        <w:rPr>
          <w:rFonts w:ascii="Calibri" w:eastAsia="SimSun" w:hAnsi="Calibri" w:cs="Arial"/>
          <w:bCs/>
          <w:sz w:val="22"/>
          <w:szCs w:val="22"/>
        </w:rPr>
        <w:t xml:space="preserve">Proposal </w:t>
      </w:r>
      <w:r w:rsidRPr="00A81C6F">
        <w:rPr>
          <w:rFonts w:ascii="Calibri" w:eastAsia="SimSun" w:hAnsi="Calibri" w:cs="Arial"/>
          <w:bCs/>
          <w:sz w:val="22"/>
          <w:szCs w:val="22"/>
        </w:rPr>
        <w:fldChar w:fldCharType="begin"/>
      </w:r>
      <w:r w:rsidRPr="00A81C6F">
        <w:rPr>
          <w:rFonts w:ascii="Calibri" w:eastAsia="SimSun" w:hAnsi="Calibri" w:cs="Arial"/>
          <w:bCs/>
          <w:sz w:val="22"/>
          <w:szCs w:val="22"/>
        </w:rPr>
        <w:instrText xml:space="preserve"> SEQ Proposal \* ARABIC </w:instrText>
      </w:r>
      <w:r w:rsidRPr="00A81C6F">
        <w:rPr>
          <w:rFonts w:ascii="Calibri" w:eastAsia="SimSun" w:hAnsi="Calibri" w:cs="Arial"/>
          <w:bCs/>
          <w:sz w:val="22"/>
          <w:szCs w:val="22"/>
        </w:rPr>
        <w:fldChar w:fldCharType="separate"/>
      </w:r>
      <w:r w:rsidR="008D7B1C">
        <w:rPr>
          <w:rFonts w:ascii="Calibri" w:eastAsia="SimSun" w:hAnsi="Calibri" w:cs="Arial"/>
          <w:bCs/>
          <w:noProof/>
          <w:sz w:val="22"/>
          <w:szCs w:val="22"/>
        </w:rPr>
        <w:t>1</w:t>
      </w:r>
      <w:r w:rsidRPr="00A81C6F">
        <w:rPr>
          <w:rFonts w:ascii="Calibri" w:eastAsia="SimSun" w:hAnsi="Calibri" w:cs="Arial"/>
          <w:bCs/>
          <w:sz w:val="22"/>
          <w:szCs w:val="22"/>
        </w:rPr>
        <w:fldChar w:fldCharType="end"/>
      </w:r>
      <w:r w:rsidRPr="00A81C6F">
        <w:rPr>
          <w:rFonts w:ascii="Calibri" w:eastAsia="SimSun" w:hAnsi="Calibri" w:cs="Arial"/>
          <w:bCs/>
          <w:sz w:val="22"/>
          <w:szCs w:val="22"/>
        </w:rPr>
        <w:t xml:space="preserve">: For RRC based TCI switch, </w:t>
      </w:r>
      <w:r w:rsidRPr="00A81C6F">
        <w:rPr>
          <w:sz w:val="22"/>
          <w:szCs w:val="22"/>
        </w:rPr>
        <w:t>upon exceeding L</w:t>
      </w:r>
      <w:r w:rsidRPr="00A81C6F">
        <w:rPr>
          <w:sz w:val="22"/>
          <w:szCs w:val="22"/>
          <w:vertAlign w:val="subscript"/>
        </w:rPr>
        <w:t>RRC,known,max</w:t>
      </w:r>
      <w:r>
        <w:rPr>
          <w:sz w:val="22"/>
          <w:szCs w:val="22"/>
          <w:vertAlign w:val="subscript"/>
        </w:rPr>
        <w:t>,</w:t>
      </w:r>
      <w:r w:rsidRPr="00A81C6F">
        <w:rPr>
          <w:sz w:val="22"/>
          <w:szCs w:val="22"/>
        </w:rPr>
        <w:t xml:space="preserve"> the UE may stop the TCI switching </w:t>
      </w:r>
      <w:r>
        <w:rPr>
          <w:sz w:val="22"/>
          <w:szCs w:val="22"/>
        </w:rPr>
        <w:t>procedure</w:t>
      </w:r>
      <w:r w:rsidRPr="008D7B1C">
        <w:rPr>
          <w:sz w:val="22"/>
          <w:szCs w:val="22"/>
        </w:rPr>
        <w:t>.</w:t>
      </w:r>
      <w:bookmarkEnd w:id="6"/>
      <w:r w:rsidRPr="008D7B1C">
        <w:rPr>
          <w:sz w:val="22"/>
          <w:szCs w:val="22"/>
        </w:rPr>
        <w:t xml:space="preserve"> No specific requirements should be defined for the beam failure declaration upon exceeding L</w:t>
      </w:r>
      <w:r w:rsidRPr="008D7B1C">
        <w:rPr>
          <w:sz w:val="22"/>
          <w:szCs w:val="22"/>
          <w:vertAlign w:val="subscript"/>
        </w:rPr>
        <w:t>RRC,known,max</w:t>
      </w:r>
      <w:r w:rsidRPr="008D7B1C">
        <w:rPr>
          <w:sz w:val="22"/>
          <w:szCs w:val="22"/>
        </w:rPr>
        <w:t>.</w:t>
      </w:r>
    </w:p>
    <w:p w:rsidR="00BC4ADA" w:rsidRPr="00FC4793" w:rsidRDefault="00BC4ADA" w:rsidP="00BC4ADA">
      <w:pPr>
        <w:jc w:val="both"/>
        <w:rPr>
          <w:lang w:eastAsia="ko-KR"/>
        </w:rPr>
      </w:pPr>
      <w:r>
        <w:t xml:space="preserve">According to section 5, TS38.213, beam failure indication is provided subjected to beam failure detection procedure, i. e. </w:t>
      </w:r>
      <w:r>
        <w:rPr>
          <w:rFonts w:eastAsia="DengXian"/>
          <w:iCs/>
        </w:rPr>
        <w:t>when the radio link quality is worse than the threshold Q</w:t>
      </w:r>
      <w:r>
        <w:rPr>
          <w:rFonts w:eastAsia="DengXian"/>
          <w:iCs/>
          <w:vertAlign w:val="subscript"/>
        </w:rPr>
        <w:t>out,LR</w:t>
      </w:r>
      <w:r>
        <w:t>. And the triggering of beam failure recovery procedure upon the receiving of beam failure indication has been specified in section 5.17, TS 38.321.</w:t>
      </w:r>
      <w:r>
        <w:rPr>
          <w:lang w:eastAsia="ko-KR"/>
        </w:rPr>
        <w:t xml:space="preserve"> </w:t>
      </w:r>
      <w:r>
        <w:t xml:space="preserve">Therefore, if the beam failure indication or the beam failure recovery procedure will be triggered by the reason other than beam failure detection, e.g. upon </w:t>
      </w:r>
      <w:r w:rsidRPr="00A81C6F">
        <w:t>exceeding L</w:t>
      </w:r>
      <w:r w:rsidRPr="00A81C6F">
        <w:rPr>
          <w:vertAlign w:val="subscript"/>
        </w:rPr>
        <w:t>RRC,known,max</w:t>
      </w:r>
      <w:r>
        <w:rPr>
          <w:rFonts w:eastAsia="DengXian"/>
          <w:iCs/>
        </w:rPr>
        <w:t xml:space="preserve">, LS to RAN1 and RAN2 will be required.  </w:t>
      </w:r>
    </w:p>
    <w:p w:rsidR="00BC4ADA" w:rsidRPr="00017EFA" w:rsidRDefault="00BC4ADA" w:rsidP="00BC4ADA">
      <w:pPr>
        <w:jc w:val="both"/>
        <w:rPr>
          <w:b/>
        </w:rPr>
      </w:pPr>
      <w:bookmarkStart w:id="7" w:name="_Ref37021026"/>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8D7B1C">
        <w:rPr>
          <w:rFonts w:ascii="Calibri" w:eastAsia="SimSun" w:hAnsi="Calibri" w:cs="Arial"/>
          <w:b/>
          <w:bCs/>
          <w:noProof/>
        </w:rPr>
        <w:t>5</w:t>
      </w:r>
      <w:r w:rsidRPr="003B4CA6">
        <w:rPr>
          <w:rFonts w:ascii="Calibri" w:eastAsia="SimSun" w:hAnsi="Calibri" w:cs="Arial"/>
          <w:b/>
          <w:bCs/>
        </w:rPr>
        <w:fldChar w:fldCharType="end"/>
      </w:r>
      <w:r w:rsidRPr="003B4CA6">
        <w:rPr>
          <w:rFonts w:ascii="Calibri" w:eastAsia="SimSun" w:hAnsi="Calibri" w:cs="Arial"/>
          <w:b/>
          <w:bCs/>
        </w:rPr>
        <w:t xml:space="preserve">: </w:t>
      </w:r>
      <w:r>
        <w:rPr>
          <w:rFonts w:ascii="Calibri" w:eastAsia="SimSun" w:hAnsi="Calibri" w:cs="Arial"/>
          <w:b/>
          <w:bCs/>
        </w:rPr>
        <w:t>Beam</w:t>
      </w:r>
      <w:r>
        <w:rPr>
          <w:b/>
        </w:rPr>
        <w:t xml:space="preserve"> failure is indicated based on beam failure detection procedure, instead of TCI switch procedure.</w:t>
      </w:r>
      <w:bookmarkEnd w:id="7"/>
    </w:p>
    <w:p w:rsidR="00BC4ADA" w:rsidRPr="008008E4" w:rsidRDefault="00BC4ADA" w:rsidP="00BC4ADA">
      <w:pPr>
        <w:pStyle w:val="af1"/>
        <w:jc w:val="both"/>
        <w:rPr>
          <w:rFonts w:ascii="Calibri" w:eastAsia="SimSun" w:hAnsi="Calibri" w:cs="Arial"/>
          <w:bCs/>
          <w:sz w:val="22"/>
          <w:szCs w:val="22"/>
        </w:rPr>
      </w:pPr>
      <w:bookmarkStart w:id="8" w:name="_Ref37021008"/>
      <w:r w:rsidRPr="00A81C6F">
        <w:rPr>
          <w:rFonts w:ascii="Calibri" w:eastAsia="SimSun" w:hAnsi="Calibri" w:cs="Arial"/>
          <w:bCs/>
          <w:sz w:val="22"/>
          <w:szCs w:val="22"/>
        </w:rPr>
        <w:t xml:space="preserve">Proposal </w:t>
      </w:r>
      <w:r w:rsidRPr="00A81C6F">
        <w:rPr>
          <w:rFonts w:ascii="Calibri" w:eastAsia="SimSun" w:hAnsi="Calibri" w:cs="Arial"/>
          <w:bCs/>
          <w:sz w:val="22"/>
          <w:szCs w:val="22"/>
        </w:rPr>
        <w:fldChar w:fldCharType="begin"/>
      </w:r>
      <w:r w:rsidRPr="00A81C6F">
        <w:rPr>
          <w:rFonts w:ascii="Calibri" w:eastAsia="SimSun" w:hAnsi="Calibri" w:cs="Arial"/>
          <w:bCs/>
          <w:sz w:val="22"/>
          <w:szCs w:val="22"/>
        </w:rPr>
        <w:instrText xml:space="preserve"> SEQ Proposal \* ARABIC </w:instrText>
      </w:r>
      <w:r w:rsidRPr="00A81C6F">
        <w:rPr>
          <w:rFonts w:ascii="Calibri" w:eastAsia="SimSun" w:hAnsi="Calibri" w:cs="Arial"/>
          <w:bCs/>
          <w:sz w:val="22"/>
          <w:szCs w:val="22"/>
        </w:rPr>
        <w:fldChar w:fldCharType="separate"/>
      </w:r>
      <w:r w:rsidR="008D7B1C">
        <w:rPr>
          <w:rFonts w:ascii="Calibri" w:eastAsia="SimSun" w:hAnsi="Calibri" w:cs="Arial"/>
          <w:bCs/>
          <w:noProof/>
          <w:sz w:val="22"/>
          <w:szCs w:val="22"/>
        </w:rPr>
        <w:t>2</w:t>
      </w:r>
      <w:r w:rsidRPr="00A81C6F">
        <w:rPr>
          <w:rFonts w:ascii="Calibri" w:eastAsia="SimSun" w:hAnsi="Calibri" w:cs="Arial"/>
          <w:bCs/>
          <w:sz w:val="22"/>
          <w:szCs w:val="22"/>
        </w:rPr>
        <w:fldChar w:fldCharType="end"/>
      </w:r>
      <w:r w:rsidRPr="00A81C6F">
        <w:rPr>
          <w:rFonts w:ascii="Calibri" w:eastAsia="SimSun" w:hAnsi="Calibri" w:cs="Arial"/>
          <w:bCs/>
          <w:sz w:val="22"/>
          <w:szCs w:val="22"/>
        </w:rPr>
        <w:t xml:space="preserve">: </w:t>
      </w:r>
      <w:r>
        <w:rPr>
          <w:rFonts w:ascii="Calibri" w:eastAsia="SimSun" w:hAnsi="Calibri" w:cs="Arial"/>
          <w:bCs/>
          <w:sz w:val="22"/>
          <w:szCs w:val="22"/>
        </w:rPr>
        <w:t>LS to RAN1 and RAN2 is required, if TCI switch procedure is introduced to indicate beam failure or trigger beam failure recovery procedure.</w:t>
      </w:r>
      <w:bookmarkEnd w:id="8"/>
      <w:r>
        <w:rPr>
          <w:rFonts w:ascii="Calibri" w:eastAsia="SimSun" w:hAnsi="Calibri" w:cs="Arial"/>
          <w:bCs/>
          <w:sz w:val="22"/>
          <w:szCs w:val="22"/>
        </w:rPr>
        <w:t xml:space="preserve"> </w:t>
      </w:r>
    </w:p>
    <w:p w:rsidR="00BC4ADA" w:rsidRPr="00BC4ADA" w:rsidRDefault="00BC4ADA" w:rsidP="00BC4ADA"/>
    <w:p w:rsidR="00BC4ADA" w:rsidRDefault="00D744BF" w:rsidP="003E1284">
      <w:pPr>
        <w:jc w:val="both"/>
        <w:rPr>
          <w:b/>
          <w:u w:val="single"/>
        </w:rPr>
      </w:pPr>
      <w:r>
        <w:rPr>
          <w:b/>
          <w:u w:val="single"/>
        </w:rPr>
        <w:t>MA</w:t>
      </w:r>
      <w:r w:rsidRPr="00025FA8">
        <w:rPr>
          <w:b/>
          <w:u w:val="single"/>
        </w:rPr>
        <w:t>C based TCI switch</w:t>
      </w:r>
    </w:p>
    <w:p w:rsidR="003E1284" w:rsidRDefault="003E1284" w:rsidP="003E1284">
      <w:pPr>
        <w:jc w:val="both"/>
        <w:rPr>
          <w:lang w:eastAsia="en-US"/>
        </w:rPr>
      </w:pPr>
      <w:r>
        <w:rPr>
          <w:lang w:eastAsia="en-US"/>
        </w:rPr>
        <w:t xml:space="preserve">It can be observed that the DL LBT failures are mainly caused by high loading on the current carrier, and the TCI switch cannot resolve the loading problem. In the other words, staying in the old TCI state or switching to the new TCI state would encounter the similar DL LBT failure rate. </w:t>
      </w:r>
    </w:p>
    <w:p w:rsidR="003E1284" w:rsidRDefault="003E1284" w:rsidP="00BC4ADA">
      <w:pPr>
        <w:spacing w:after="0" w:line="240" w:lineRule="auto"/>
        <w:rPr>
          <w:rFonts w:ascii="Calibri" w:eastAsia="SimSun" w:hAnsi="Calibri" w:cs="Arial"/>
          <w:b/>
          <w:bCs/>
        </w:rPr>
      </w:pPr>
      <w:bookmarkStart w:id="9" w:name="_Ref31884259"/>
      <w:r w:rsidRPr="003B4CA6">
        <w:rPr>
          <w:rFonts w:ascii="Calibri" w:eastAsia="SimSun" w:hAnsi="Calibri" w:cs="Arial"/>
          <w:b/>
          <w:bCs/>
        </w:rPr>
        <w:t xml:space="preserve">Observation </w:t>
      </w:r>
      <w:r w:rsidR="002F3AF6"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2F3AF6" w:rsidRPr="003B4CA6">
        <w:rPr>
          <w:rFonts w:ascii="Calibri" w:eastAsia="SimSun" w:hAnsi="Calibri" w:cs="Arial"/>
          <w:b/>
          <w:bCs/>
        </w:rPr>
        <w:fldChar w:fldCharType="separate"/>
      </w:r>
      <w:r w:rsidR="008D7B1C">
        <w:rPr>
          <w:rFonts w:ascii="Calibri" w:eastAsia="SimSun" w:hAnsi="Calibri" w:cs="Arial"/>
          <w:b/>
          <w:bCs/>
          <w:noProof/>
        </w:rPr>
        <w:t>6</w:t>
      </w:r>
      <w:r w:rsidR="002F3AF6" w:rsidRPr="003B4CA6">
        <w:rPr>
          <w:rFonts w:ascii="Calibri" w:eastAsia="SimSun" w:hAnsi="Calibri" w:cs="Arial"/>
          <w:b/>
          <w:bCs/>
        </w:rPr>
        <w:fldChar w:fldCharType="end"/>
      </w:r>
      <w:r w:rsidRPr="003B4CA6">
        <w:rPr>
          <w:rFonts w:ascii="Calibri" w:eastAsia="SimSun" w:hAnsi="Calibri" w:cs="Arial"/>
          <w:b/>
          <w:bCs/>
        </w:rPr>
        <w:t xml:space="preserve">: </w:t>
      </w:r>
      <w:r>
        <w:rPr>
          <w:b/>
        </w:rPr>
        <w:t>Exceeding the maximum period is led by heavy loading on the unlicensed band, and staying in the old TCI will still encounter the high DL LBT failure rate.</w:t>
      </w:r>
      <w:bookmarkEnd w:id="9"/>
    </w:p>
    <w:p w:rsidR="00BC4ADA" w:rsidRPr="00BC4ADA" w:rsidRDefault="00BC4ADA" w:rsidP="00BC4ADA">
      <w:pPr>
        <w:spacing w:after="0" w:line="240" w:lineRule="auto"/>
        <w:rPr>
          <w:rFonts w:ascii="Calibri" w:eastAsia="SimSun" w:hAnsi="Calibri" w:cs="Arial"/>
          <w:b/>
          <w:bCs/>
        </w:rPr>
      </w:pPr>
    </w:p>
    <w:p w:rsidR="003E1284" w:rsidRPr="00166DD9" w:rsidRDefault="003E1284" w:rsidP="003E1284">
      <w:pPr>
        <w:jc w:val="both"/>
      </w:pPr>
      <w:r>
        <w:t xml:space="preserve">Besides, the active TCI state switching is triggered by beam management purpose. If the beam with the old TCI state is getting worse, network would switch the beam to the new TCI state. When the DL LBT failure occurs too often during the TCI switch process, the reason for network to trigger TCI state switch should still be valid, i.e. the beam with old TCI state is still bad. Therefore, if UE stays in the old TCI state, it will lose </w:t>
      </w:r>
      <w:r w:rsidRPr="00166DD9">
        <w:t>the opportunity to apply better beam and increase the probability of beam failure.</w:t>
      </w:r>
    </w:p>
    <w:p w:rsidR="003E1284" w:rsidRPr="00166DD9" w:rsidRDefault="003E1284" w:rsidP="003E1284">
      <w:pPr>
        <w:jc w:val="both"/>
        <w:rPr>
          <w:b/>
        </w:rPr>
      </w:pPr>
      <w:bookmarkStart w:id="10" w:name="_Ref31884262"/>
      <w:r w:rsidRPr="00166DD9">
        <w:rPr>
          <w:rFonts w:ascii="Calibri" w:eastAsia="SimSun" w:hAnsi="Calibri" w:cs="Arial"/>
          <w:b/>
          <w:bCs/>
        </w:rPr>
        <w:t xml:space="preserve">Observation </w:t>
      </w:r>
      <w:r w:rsidR="002F3AF6" w:rsidRPr="00166DD9">
        <w:rPr>
          <w:rFonts w:ascii="Calibri" w:eastAsia="SimSun" w:hAnsi="Calibri" w:cs="Arial"/>
          <w:b/>
          <w:bCs/>
        </w:rPr>
        <w:fldChar w:fldCharType="begin"/>
      </w:r>
      <w:r w:rsidRPr="00166DD9">
        <w:rPr>
          <w:rFonts w:ascii="Calibri" w:eastAsia="SimSun" w:hAnsi="Calibri" w:cs="Arial"/>
          <w:b/>
          <w:bCs/>
        </w:rPr>
        <w:instrText xml:space="preserve"> SEQ Observation \* ARABIC </w:instrText>
      </w:r>
      <w:r w:rsidR="002F3AF6" w:rsidRPr="00166DD9">
        <w:rPr>
          <w:rFonts w:ascii="Calibri" w:eastAsia="SimSun" w:hAnsi="Calibri" w:cs="Arial"/>
          <w:b/>
          <w:bCs/>
        </w:rPr>
        <w:fldChar w:fldCharType="separate"/>
      </w:r>
      <w:r w:rsidR="008D7B1C">
        <w:rPr>
          <w:rFonts w:ascii="Calibri" w:eastAsia="SimSun" w:hAnsi="Calibri" w:cs="Arial"/>
          <w:b/>
          <w:bCs/>
          <w:noProof/>
        </w:rPr>
        <w:t>7</w:t>
      </w:r>
      <w:r w:rsidR="002F3AF6" w:rsidRPr="00166DD9">
        <w:rPr>
          <w:rFonts w:ascii="Calibri" w:eastAsia="SimSun" w:hAnsi="Calibri" w:cs="Arial"/>
          <w:b/>
          <w:bCs/>
        </w:rPr>
        <w:fldChar w:fldCharType="end"/>
      </w:r>
      <w:r w:rsidRPr="00166DD9">
        <w:rPr>
          <w:rFonts w:ascii="Calibri" w:eastAsia="SimSun" w:hAnsi="Calibri" w:cs="Arial"/>
          <w:b/>
          <w:bCs/>
        </w:rPr>
        <w:t xml:space="preserve">: </w:t>
      </w:r>
      <w:r w:rsidRPr="00166DD9">
        <w:rPr>
          <w:b/>
        </w:rPr>
        <w:t>Staying in the old TCI state will increase the probability of beam failure</w:t>
      </w:r>
      <w:bookmarkEnd w:id="10"/>
      <w:r w:rsidR="005B7AFE">
        <w:rPr>
          <w:b/>
        </w:rPr>
        <w:t>, because t</w:t>
      </w:r>
      <w:r w:rsidR="005B7AFE" w:rsidRPr="00166DD9">
        <w:rPr>
          <w:b/>
        </w:rPr>
        <w:t xml:space="preserve">he reason for network to trigger TCI state switch should still be valid even after several LBT failures. </w:t>
      </w:r>
      <w:r w:rsidRPr="00166DD9">
        <w:rPr>
          <w:b/>
        </w:rPr>
        <w:t xml:space="preserve"> </w:t>
      </w:r>
    </w:p>
    <w:p w:rsidR="00D2571E" w:rsidRPr="00166DD9" w:rsidRDefault="003E1284" w:rsidP="00A653C8">
      <w:pPr>
        <w:jc w:val="both"/>
      </w:pPr>
      <w:r w:rsidRPr="00166DD9">
        <w:t xml:space="preserve">Based on the above discussion, </w:t>
      </w:r>
      <w:r w:rsidR="005B7AFE">
        <w:t>there is no clear</w:t>
      </w:r>
      <w:r w:rsidRPr="00166DD9">
        <w:t xml:space="preserve"> </w:t>
      </w:r>
      <w:r w:rsidR="005B7AFE">
        <w:t>benefit</w:t>
      </w:r>
      <w:r w:rsidRPr="00166DD9">
        <w:t xml:space="preserve"> </w:t>
      </w:r>
      <w:r w:rsidR="008D1B37" w:rsidRPr="00166DD9">
        <w:t>for</w:t>
      </w:r>
      <w:r w:rsidR="00D2571E" w:rsidRPr="00166DD9">
        <w:t xml:space="preserve"> UE </w:t>
      </w:r>
      <w:r w:rsidR="005B7AFE">
        <w:t>to stay</w:t>
      </w:r>
      <w:r w:rsidR="00D2571E" w:rsidRPr="00166DD9">
        <w:t xml:space="preserve"> </w:t>
      </w:r>
      <w:r w:rsidR="00270D0D" w:rsidRPr="00166DD9">
        <w:t xml:space="preserve">on </w:t>
      </w:r>
      <w:r w:rsidR="00D2571E" w:rsidRPr="00166DD9">
        <w:t xml:space="preserve">the old TCI. </w:t>
      </w:r>
      <w:r w:rsidR="00A653C8" w:rsidRPr="00166DD9">
        <w:t>On the other hand, some benefits can be observed if UE is</w:t>
      </w:r>
      <w:r w:rsidRPr="00166DD9">
        <w:t xml:space="preserve"> allowed to</w:t>
      </w:r>
      <w:r w:rsidR="00D2571E" w:rsidRPr="00166DD9">
        <w:t xml:space="preserve"> keep trying with</w:t>
      </w:r>
      <w:r w:rsidR="00A653C8" w:rsidRPr="00166DD9">
        <w:t xml:space="preserve"> the</w:t>
      </w:r>
      <w:r w:rsidR="00D2571E" w:rsidRPr="00166DD9">
        <w:t xml:space="preserve"> </w:t>
      </w:r>
      <w:r w:rsidRPr="00166DD9">
        <w:t>new TCI-state</w:t>
      </w:r>
      <w:r w:rsidR="00A653C8" w:rsidRPr="00166DD9">
        <w:t xml:space="preserve">, </w:t>
      </w:r>
      <w:r w:rsidR="00D2571E" w:rsidRPr="00166DD9">
        <w:t xml:space="preserve">e.g. if UE will be able to switch to the new TCI </w:t>
      </w:r>
      <w:r w:rsidR="00B866E8" w:rsidRPr="00166DD9">
        <w:t xml:space="preserve">once the DRS </w:t>
      </w:r>
      <w:r w:rsidR="00982B56" w:rsidRPr="00166DD9">
        <w:t>is</w:t>
      </w:r>
      <w:r w:rsidR="00B866E8" w:rsidRPr="00166DD9">
        <w:t xml:space="preserve"> successfully transmitted</w:t>
      </w:r>
      <w:r w:rsidR="00D2571E" w:rsidRPr="00166DD9">
        <w:t xml:space="preserve">. </w:t>
      </w:r>
    </w:p>
    <w:p w:rsidR="00D2571E" w:rsidRPr="00166DD9" w:rsidRDefault="00D2571E" w:rsidP="00D2571E">
      <w:pPr>
        <w:jc w:val="both"/>
        <w:rPr>
          <w:b/>
        </w:rPr>
      </w:pPr>
      <w:bookmarkStart w:id="11" w:name="_Ref37021048"/>
      <w:r w:rsidRPr="00166DD9">
        <w:rPr>
          <w:rFonts w:ascii="Calibri" w:eastAsia="SimSun" w:hAnsi="Calibri" w:cs="Arial"/>
          <w:b/>
          <w:bCs/>
        </w:rPr>
        <w:t xml:space="preserve">Observation </w:t>
      </w:r>
      <w:r w:rsidR="002F3AF6" w:rsidRPr="00166DD9">
        <w:rPr>
          <w:rFonts w:ascii="Calibri" w:eastAsia="SimSun" w:hAnsi="Calibri" w:cs="Arial"/>
          <w:b/>
          <w:bCs/>
        </w:rPr>
        <w:fldChar w:fldCharType="begin"/>
      </w:r>
      <w:r w:rsidRPr="00166DD9">
        <w:rPr>
          <w:rFonts w:ascii="Calibri" w:eastAsia="SimSun" w:hAnsi="Calibri" w:cs="Arial"/>
          <w:b/>
          <w:bCs/>
        </w:rPr>
        <w:instrText xml:space="preserve"> SEQ Observation \* ARABIC </w:instrText>
      </w:r>
      <w:r w:rsidR="002F3AF6" w:rsidRPr="00166DD9">
        <w:rPr>
          <w:rFonts w:ascii="Calibri" w:eastAsia="SimSun" w:hAnsi="Calibri" w:cs="Arial"/>
          <w:b/>
          <w:bCs/>
        </w:rPr>
        <w:fldChar w:fldCharType="separate"/>
      </w:r>
      <w:r w:rsidR="008D7B1C">
        <w:rPr>
          <w:rFonts w:ascii="Calibri" w:eastAsia="SimSun" w:hAnsi="Calibri" w:cs="Arial"/>
          <w:b/>
          <w:bCs/>
          <w:noProof/>
        </w:rPr>
        <w:t>8</w:t>
      </w:r>
      <w:r w:rsidR="002F3AF6" w:rsidRPr="00166DD9">
        <w:rPr>
          <w:rFonts w:ascii="Calibri" w:eastAsia="SimSun" w:hAnsi="Calibri" w:cs="Arial"/>
          <w:b/>
          <w:bCs/>
        </w:rPr>
        <w:fldChar w:fldCharType="end"/>
      </w:r>
      <w:r w:rsidRPr="00166DD9">
        <w:rPr>
          <w:rFonts w:ascii="Calibri" w:eastAsia="SimSun" w:hAnsi="Calibri" w:cs="Arial"/>
          <w:b/>
          <w:bCs/>
        </w:rPr>
        <w:t xml:space="preserve">: </w:t>
      </w:r>
      <w:r w:rsidR="00A653C8" w:rsidRPr="00166DD9">
        <w:rPr>
          <w:b/>
        </w:rPr>
        <w:t xml:space="preserve">If UE is allowed to keep trying with the new TCI-state, </w:t>
      </w:r>
      <w:r w:rsidRPr="00166DD9">
        <w:rPr>
          <w:b/>
        </w:rPr>
        <w:t xml:space="preserve">UE will be able to switch </w:t>
      </w:r>
      <w:r w:rsidR="00A653C8" w:rsidRPr="00166DD9">
        <w:rPr>
          <w:b/>
        </w:rPr>
        <w:t>to</w:t>
      </w:r>
      <w:r w:rsidRPr="00166DD9">
        <w:rPr>
          <w:b/>
        </w:rPr>
        <w:t xml:space="preserve"> the new TCI</w:t>
      </w:r>
      <w:bookmarkEnd w:id="11"/>
      <w:r w:rsidR="00B866E8" w:rsidRPr="00166DD9">
        <w:rPr>
          <w:b/>
        </w:rPr>
        <w:t xml:space="preserve"> once the DRS </w:t>
      </w:r>
      <w:r w:rsidR="00982B56" w:rsidRPr="00166DD9">
        <w:rPr>
          <w:b/>
        </w:rPr>
        <w:t>is</w:t>
      </w:r>
      <w:r w:rsidR="00B866E8" w:rsidRPr="00166DD9">
        <w:rPr>
          <w:b/>
        </w:rPr>
        <w:t xml:space="preserve"> successfully transmitted.</w:t>
      </w:r>
      <w:r w:rsidR="00B866E8" w:rsidRPr="00166DD9">
        <w:t xml:space="preserve"> </w:t>
      </w:r>
      <w:r w:rsidRPr="00166DD9">
        <w:rPr>
          <w:b/>
        </w:rPr>
        <w:t xml:space="preserve"> </w:t>
      </w:r>
    </w:p>
    <w:p w:rsidR="00DA47D5" w:rsidRPr="005B7AFE" w:rsidRDefault="00B866E8" w:rsidP="00982B56">
      <w:pPr>
        <w:pStyle w:val="af1"/>
        <w:jc w:val="both"/>
        <w:rPr>
          <w:b w:val="0"/>
          <w:sz w:val="22"/>
          <w:szCs w:val="22"/>
        </w:rPr>
      </w:pPr>
      <w:r w:rsidRPr="00166DD9">
        <w:rPr>
          <w:b w:val="0"/>
          <w:sz w:val="22"/>
          <w:szCs w:val="22"/>
        </w:rPr>
        <w:t xml:space="preserve">It can </w:t>
      </w:r>
      <w:r w:rsidR="00683C8E">
        <w:rPr>
          <w:b w:val="0"/>
          <w:sz w:val="22"/>
          <w:szCs w:val="22"/>
        </w:rPr>
        <w:t xml:space="preserve">be </w:t>
      </w:r>
      <w:r w:rsidRPr="00166DD9">
        <w:rPr>
          <w:b w:val="0"/>
          <w:sz w:val="22"/>
          <w:szCs w:val="22"/>
        </w:rPr>
        <w:t>also observe</w:t>
      </w:r>
      <w:r w:rsidR="00683C8E">
        <w:rPr>
          <w:b w:val="0"/>
          <w:sz w:val="22"/>
          <w:szCs w:val="22"/>
        </w:rPr>
        <w:t>d that</w:t>
      </w:r>
      <w:r w:rsidRPr="00166DD9">
        <w:rPr>
          <w:b w:val="0"/>
          <w:sz w:val="22"/>
          <w:szCs w:val="22"/>
        </w:rPr>
        <w:t xml:space="preserve"> </w:t>
      </w:r>
      <w:r w:rsidR="00DA47D5" w:rsidRPr="00166DD9">
        <w:rPr>
          <w:b w:val="0"/>
          <w:sz w:val="22"/>
          <w:szCs w:val="22"/>
        </w:rPr>
        <w:t xml:space="preserve">one ongoing discussion in </w:t>
      </w:r>
      <w:r w:rsidR="00DA47D5" w:rsidRPr="005B7AFE">
        <w:rPr>
          <w:b w:val="0"/>
          <w:sz w:val="22"/>
          <w:szCs w:val="22"/>
        </w:rPr>
        <w:t xml:space="preserve">Rel-15 on whether to support </w:t>
      </w:r>
      <w:r w:rsidR="003F1D4D" w:rsidRPr="005B7AFE">
        <w:rPr>
          <w:b w:val="0"/>
          <w:sz w:val="22"/>
          <w:szCs w:val="22"/>
        </w:rPr>
        <w:t>the quick</w:t>
      </w:r>
      <w:r w:rsidR="00DA47D5" w:rsidRPr="005B7AFE">
        <w:rPr>
          <w:b w:val="0"/>
          <w:sz w:val="22"/>
          <w:szCs w:val="22"/>
        </w:rPr>
        <w:t xml:space="preserve"> </w:t>
      </w:r>
      <w:r w:rsidR="003F1D4D" w:rsidRPr="005B7AFE">
        <w:rPr>
          <w:b w:val="0"/>
          <w:sz w:val="22"/>
          <w:szCs w:val="22"/>
        </w:rPr>
        <w:t>MAC-CE based TCI switch</w:t>
      </w:r>
      <w:r w:rsidR="005B7AFE" w:rsidRPr="005B7AFE">
        <w:rPr>
          <w:b w:val="0"/>
          <w:sz w:val="22"/>
          <w:szCs w:val="22"/>
        </w:rPr>
        <w:t>, i.e. whether UE is required to stay on the old TCI</w:t>
      </w:r>
      <w:r w:rsidR="00DA47D5" w:rsidRPr="005B7AFE">
        <w:rPr>
          <w:b w:val="0"/>
          <w:sz w:val="22"/>
          <w:szCs w:val="22"/>
        </w:rPr>
        <w:t xml:space="preserve"> </w:t>
      </w:r>
      <w:r w:rsidR="005B7AFE" w:rsidRPr="005B7AFE">
        <w:rPr>
          <w:b w:val="0"/>
          <w:sz w:val="22"/>
          <w:szCs w:val="22"/>
        </w:rPr>
        <w:t>after</w:t>
      </w:r>
      <w:r w:rsidR="004A358D" w:rsidRPr="005B7AFE">
        <w:rPr>
          <w:b w:val="0"/>
          <w:sz w:val="22"/>
          <w:szCs w:val="22"/>
        </w:rPr>
        <w:t xml:space="preserve"> </w:t>
      </w:r>
      <w:r w:rsidR="004A358D" w:rsidRPr="005B7AFE">
        <w:rPr>
          <w:rFonts w:eastAsia="Malgun Gothic"/>
          <w:b w:val="0"/>
          <w:sz w:val="22"/>
          <w:szCs w:val="22"/>
        </w:rPr>
        <w:t>T</w:t>
      </w:r>
      <w:r w:rsidR="004A358D" w:rsidRPr="005B7AFE">
        <w:rPr>
          <w:rFonts w:eastAsia="Malgun Gothic"/>
          <w:b w:val="0"/>
          <w:sz w:val="22"/>
          <w:szCs w:val="22"/>
          <w:vertAlign w:val="subscript"/>
        </w:rPr>
        <w:t>HARQ</w:t>
      </w:r>
      <w:r w:rsidR="004A358D" w:rsidRPr="005B7AFE">
        <w:rPr>
          <w:rFonts w:eastAsia="Malgun Gothic"/>
          <w:b w:val="0"/>
          <w:sz w:val="22"/>
          <w:szCs w:val="22"/>
        </w:rPr>
        <w:t xml:space="preserve"> + 3 ms</w:t>
      </w:r>
      <w:r w:rsidR="004A358D" w:rsidRPr="005B7AFE">
        <w:rPr>
          <w:b w:val="0"/>
          <w:sz w:val="22"/>
          <w:szCs w:val="22"/>
        </w:rPr>
        <w:t>,</w:t>
      </w:r>
      <w:r w:rsidR="00DA47D5" w:rsidRPr="005B7AFE">
        <w:rPr>
          <w:b w:val="0"/>
          <w:sz w:val="22"/>
          <w:szCs w:val="22"/>
        </w:rPr>
        <w:t xml:space="preserve"> or </w:t>
      </w:r>
      <w:r w:rsidR="004A358D" w:rsidRPr="005B7AFE">
        <w:rPr>
          <w:b w:val="0"/>
          <w:sz w:val="22"/>
          <w:szCs w:val="22"/>
        </w:rPr>
        <w:t xml:space="preserve">to </w:t>
      </w:r>
      <w:r w:rsidR="00DA47D5" w:rsidRPr="005B7AFE">
        <w:rPr>
          <w:b w:val="0"/>
          <w:sz w:val="22"/>
          <w:szCs w:val="22"/>
        </w:rPr>
        <w:t>keep current requirement</w:t>
      </w:r>
      <w:r w:rsidR="004A358D" w:rsidRPr="005B7AFE">
        <w:rPr>
          <w:b w:val="0"/>
          <w:sz w:val="22"/>
          <w:szCs w:val="22"/>
        </w:rPr>
        <w:t xml:space="preserve"> </w:t>
      </w:r>
      <w:r w:rsidR="00DA47D5" w:rsidRPr="005B7AFE">
        <w:rPr>
          <w:b w:val="0"/>
          <w:sz w:val="22"/>
          <w:szCs w:val="22"/>
        </w:rPr>
        <w:t>not changed as UE staying on the old TCI</w:t>
      </w:r>
      <w:r w:rsidR="003F1D4D" w:rsidRPr="005B7AFE">
        <w:rPr>
          <w:b w:val="0"/>
          <w:sz w:val="22"/>
          <w:szCs w:val="22"/>
        </w:rPr>
        <w:t xml:space="preserve"> for a longer time</w:t>
      </w:r>
      <w:r w:rsidR="00DA47D5" w:rsidRPr="005B7AFE">
        <w:rPr>
          <w:b w:val="0"/>
          <w:sz w:val="22"/>
          <w:szCs w:val="22"/>
        </w:rPr>
        <w:t>.</w:t>
      </w:r>
      <w:r w:rsidR="00166DD9" w:rsidRPr="005B7AFE">
        <w:rPr>
          <w:b w:val="0"/>
          <w:sz w:val="22"/>
          <w:szCs w:val="22"/>
        </w:rPr>
        <w:t xml:space="preserve"> We believe the UE behavior should be consistent. In other words, if </w:t>
      </w:r>
      <w:r w:rsidR="003F1D4D" w:rsidRPr="005B7AFE">
        <w:rPr>
          <w:b w:val="0"/>
          <w:sz w:val="22"/>
          <w:szCs w:val="22"/>
        </w:rPr>
        <w:t>the quick MAC-CE based TCI switch</w:t>
      </w:r>
      <w:r w:rsidR="00166DD9" w:rsidRPr="005B7AFE">
        <w:rPr>
          <w:b w:val="0"/>
          <w:sz w:val="22"/>
          <w:szCs w:val="22"/>
        </w:rPr>
        <w:t xml:space="preserve"> is supported i</w:t>
      </w:r>
      <w:r w:rsidR="004A358D" w:rsidRPr="005B7AFE">
        <w:rPr>
          <w:b w:val="0"/>
          <w:sz w:val="22"/>
          <w:szCs w:val="22"/>
        </w:rPr>
        <w:t>n Rel-15</w:t>
      </w:r>
      <w:r w:rsidR="003F1D4D" w:rsidRPr="005B7AFE">
        <w:rPr>
          <w:b w:val="0"/>
          <w:sz w:val="22"/>
          <w:szCs w:val="22"/>
        </w:rPr>
        <w:t xml:space="preserve">, </w:t>
      </w:r>
      <w:r w:rsidR="00683C8E" w:rsidRPr="005B7AFE">
        <w:rPr>
          <w:b w:val="0"/>
          <w:sz w:val="22"/>
          <w:szCs w:val="22"/>
        </w:rPr>
        <w:t xml:space="preserve">then </w:t>
      </w:r>
      <w:r w:rsidR="003F1D4D" w:rsidRPr="005B7AFE">
        <w:rPr>
          <w:b w:val="0"/>
          <w:sz w:val="22"/>
          <w:szCs w:val="22"/>
        </w:rPr>
        <w:t xml:space="preserve">UE should not be </w:t>
      </w:r>
      <w:r w:rsidR="00166DD9" w:rsidRPr="005B7AFE">
        <w:rPr>
          <w:b w:val="0"/>
          <w:sz w:val="22"/>
          <w:szCs w:val="22"/>
        </w:rPr>
        <w:t xml:space="preserve">required to </w:t>
      </w:r>
      <w:r w:rsidR="005B7AFE" w:rsidRPr="005B7AFE">
        <w:rPr>
          <w:b w:val="0"/>
          <w:sz w:val="22"/>
          <w:szCs w:val="22"/>
        </w:rPr>
        <w:t>stay on</w:t>
      </w:r>
      <w:r w:rsidR="00166DD9" w:rsidRPr="005B7AFE">
        <w:rPr>
          <w:b w:val="0"/>
          <w:sz w:val="22"/>
          <w:szCs w:val="22"/>
        </w:rPr>
        <w:t xml:space="preserve"> the old TCI upon exceeding L</w:t>
      </w:r>
      <w:r w:rsidR="00166DD9" w:rsidRPr="005B7AFE">
        <w:rPr>
          <w:b w:val="0"/>
          <w:sz w:val="22"/>
          <w:szCs w:val="22"/>
          <w:vertAlign w:val="subscript"/>
        </w:rPr>
        <w:t>MAC,known,max</w:t>
      </w:r>
      <w:r w:rsidR="00166DD9" w:rsidRPr="005B7AFE">
        <w:rPr>
          <w:b w:val="0"/>
          <w:sz w:val="22"/>
          <w:szCs w:val="22"/>
        </w:rPr>
        <w:t>.</w:t>
      </w:r>
    </w:p>
    <w:p w:rsidR="00FA2619" w:rsidRPr="00166DD9" w:rsidRDefault="00FC4793" w:rsidP="00166DD9">
      <w:pPr>
        <w:pStyle w:val="af1"/>
        <w:jc w:val="both"/>
        <w:rPr>
          <w:rFonts w:ascii="Calibri" w:eastAsia="SimSun" w:hAnsi="Calibri" w:cs="Arial"/>
          <w:bCs/>
          <w:sz w:val="22"/>
          <w:szCs w:val="22"/>
        </w:rPr>
      </w:pPr>
      <w:bookmarkStart w:id="12" w:name="_Ref37021057"/>
      <w:r w:rsidRPr="008D7B1C">
        <w:rPr>
          <w:rFonts w:ascii="Calibri" w:eastAsia="SimSun" w:hAnsi="Calibri" w:cs="Arial"/>
          <w:bCs/>
          <w:sz w:val="22"/>
          <w:szCs w:val="22"/>
        </w:rPr>
        <w:t xml:space="preserve">Proposal </w:t>
      </w:r>
      <w:r w:rsidR="002F3AF6" w:rsidRPr="008D7B1C">
        <w:rPr>
          <w:rFonts w:ascii="Calibri" w:eastAsia="SimSun" w:hAnsi="Calibri" w:cs="Arial"/>
          <w:bCs/>
          <w:sz w:val="22"/>
          <w:szCs w:val="22"/>
        </w:rPr>
        <w:fldChar w:fldCharType="begin"/>
      </w:r>
      <w:r w:rsidRPr="008D7B1C">
        <w:rPr>
          <w:rFonts w:ascii="Calibri" w:eastAsia="SimSun" w:hAnsi="Calibri" w:cs="Arial"/>
          <w:bCs/>
          <w:sz w:val="22"/>
          <w:szCs w:val="22"/>
        </w:rPr>
        <w:instrText xml:space="preserve"> SEQ Proposal \* ARABIC </w:instrText>
      </w:r>
      <w:r w:rsidR="002F3AF6" w:rsidRPr="008D7B1C">
        <w:rPr>
          <w:rFonts w:ascii="Calibri" w:eastAsia="SimSun" w:hAnsi="Calibri" w:cs="Arial"/>
          <w:bCs/>
          <w:sz w:val="22"/>
          <w:szCs w:val="22"/>
        </w:rPr>
        <w:fldChar w:fldCharType="separate"/>
      </w:r>
      <w:r w:rsidR="008D7B1C">
        <w:rPr>
          <w:rFonts w:ascii="Calibri" w:eastAsia="SimSun" w:hAnsi="Calibri" w:cs="Arial"/>
          <w:bCs/>
          <w:noProof/>
          <w:sz w:val="22"/>
          <w:szCs w:val="22"/>
        </w:rPr>
        <w:t>3</w:t>
      </w:r>
      <w:r w:rsidR="002F3AF6" w:rsidRPr="008D7B1C">
        <w:rPr>
          <w:rFonts w:ascii="Calibri" w:eastAsia="SimSun" w:hAnsi="Calibri" w:cs="Arial"/>
          <w:bCs/>
          <w:sz w:val="22"/>
          <w:szCs w:val="22"/>
        </w:rPr>
        <w:fldChar w:fldCharType="end"/>
      </w:r>
      <w:r w:rsidRPr="008D7B1C">
        <w:rPr>
          <w:rFonts w:ascii="Calibri" w:eastAsia="SimSun" w:hAnsi="Calibri" w:cs="Arial"/>
          <w:bCs/>
          <w:sz w:val="22"/>
          <w:szCs w:val="22"/>
        </w:rPr>
        <w:t xml:space="preserve">: For </w:t>
      </w:r>
      <w:r w:rsidR="003E1284" w:rsidRPr="008D7B1C">
        <w:rPr>
          <w:rFonts w:ascii="Calibri" w:eastAsia="SimSun" w:hAnsi="Calibri" w:cs="Arial"/>
          <w:bCs/>
          <w:sz w:val="22"/>
          <w:szCs w:val="22"/>
        </w:rPr>
        <w:t>MAC-CE</w:t>
      </w:r>
      <w:r w:rsidRPr="008D7B1C">
        <w:rPr>
          <w:rFonts w:ascii="Calibri" w:eastAsia="SimSun" w:hAnsi="Calibri" w:cs="Arial"/>
          <w:bCs/>
          <w:sz w:val="22"/>
          <w:szCs w:val="22"/>
        </w:rPr>
        <w:t xml:space="preserve"> based TCI switch, </w:t>
      </w:r>
      <w:r w:rsidRPr="008D7B1C">
        <w:rPr>
          <w:sz w:val="22"/>
          <w:szCs w:val="22"/>
        </w:rPr>
        <w:t>upon exceeding L</w:t>
      </w:r>
      <w:r w:rsidRPr="008D7B1C">
        <w:rPr>
          <w:sz w:val="22"/>
          <w:szCs w:val="22"/>
          <w:vertAlign w:val="subscript"/>
        </w:rPr>
        <w:t>MAC,known,max,</w:t>
      </w:r>
      <w:r w:rsidRPr="008D7B1C">
        <w:rPr>
          <w:sz w:val="22"/>
          <w:szCs w:val="22"/>
        </w:rPr>
        <w:t xml:space="preserve"> the UE </w:t>
      </w:r>
      <w:r w:rsidR="00166DD9" w:rsidRPr="008D7B1C">
        <w:rPr>
          <w:sz w:val="22"/>
          <w:szCs w:val="22"/>
        </w:rPr>
        <w:t xml:space="preserve">is not required to stay on </w:t>
      </w:r>
      <w:r w:rsidR="00166DD9" w:rsidRPr="008D7B1C">
        <w:rPr>
          <w:rFonts w:ascii="Calibri" w:eastAsia="SimSun" w:hAnsi="Calibri" w:cs="Arial"/>
          <w:bCs/>
          <w:sz w:val="22"/>
          <w:szCs w:val="22"/>
        </w:rPr>
        <w:t>the old TCI,</w:t>
      </w:r>
      <w:r w:rsidR="008D7B1C" w:rsidRPr="008D7B1C">
        <w:t xml:space="preserve"> </w:t>
      </w:r>
      <w:r w:rsidR="008D7B1C" w:rsidRPr="008D7B1C">
        <w:rPr>
          <w:rFonts w:ascii="Calibri" w:eastAsia="SimSun" w:hAnsi="Calibri" w:cs="Arial"/>
          <w:bCs/>
          <w:sz w:val="22"/>
          <w:szCs w:val="22"/>
        </w:rPr>
        <w:t>if RAN4 agrees that UE is not required to stay on old TCI after THARQ + 3 ms in Rel-15 baseline requirements</w:t>
      </w:r>
      <w:r w:rsidR="00B866E8" w:rsidRPr="008D7B1C">
        <w:rPr>
          <w:rFonts w:ascii="Calibri" w:eastAsia="SimSun" w:hAnsi="Calibri" w:cs="Arial"/>
          <w:bCs/>
          <w:sz w:val="22"/>
          <w:szCs w:val="22"/>
        </w:rPr>
        <w:t>.</w:t>
      </w:r>
      <w:r w:rsidR="00B866E8" w:rsidRPr="00166DD9">
        <w:rPr>
          <w:rFonts w:ascii="Calibri" w:eastAsia="SimSun" w:hAnsi="Calibri" w:cs="Arial"/>
          <w:bCs/>
          <w:sz w:val="22"/>
          <w:szCs w:val="22"/>
        </w:rPr>
        <w:t xml:space="preserve"> </w:t>
      </w:r>
      <w:bookmarkEnd w:id="12"/>
    </w:p>
    <w:p w:rsidR="00FA2619" w:rsidRDefault="00FA2619" w:rsidP="003E1284"/>
    <w:p w:rsidR="00FA2619" w:rsidRPr="003E1284" w:rsidRDefault="00FA2619" w:rsidP="00FA2619">
      <w:pPr>
        <w:spacing w:after="0" w:line="240" w:lineRule="auto"/>
      </w:pPr>
      <w:r>
        <w:br w:type="page"/>
      </w:r>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A45739" w:rsidRPr="00A45739">
        <w:t xml:space="preserve">TCI state switch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8D7B1C" w:rsidRDefault="008D7B1C" w:rsidP="001E7AC0">
      <w:pPr>
        <w:adjustRightInd w:val="0"/>
        <w:snapToGrid w:val="0"/>
        <w:spacing w:before="180" w:after="120"/>
        <w:jc w:val="both"/>
      </w:pPr>
      <w:r>
        <w:fldChar w:fldCharType="begin"/>
      </w:r>
      <w:r>
        <w:instrText xml:space="preserve"> REF _Ref37408887 \h </w:instrText>
      </w:r>
      <w:r>
        <w:fldChar w:fldCharType="separate"/>
      </w:r>
      <w:r w:rsidRPr="00390FE1">
        <w:rPr>
          <w:rFonts w:eastAsia="SimSun" w:cs="Arial"/>
          <w:b/>
          <w:bCs/>
        </w:rPr>
        <w:t xml:space="preserve">Observation </w:t>
      </w:r>
      <w:r>
        <w:rPr>
          <w:rFonts w:eastAsia="SimSun" w:cs="Arial"/>
          <w:b/>
          <w:bCs/>
          <w:noProof/>
        </w:rPr>
        <w:t>1</w:t>
      </w:r>
      <w:r w:rsidRPr="00390FE1">
        <w:rPr>
          <w:rFonts w:eastAsia="SimSun" w:cs="Arial"/>
          <w:b/>
          <w:bCs/>
        </w:rPr>
        <w:t>:</w:t>
      </w:r>
      <w:r w:rsidRPr="00F55B76">
        <w:rPr>
          <w:rFonts w:eastAsia="SimSun" w:cs="Arial"/>
          <w:b/>
          <w:bCs/>
        </w:rPr>
        <w:t xml:space="preserve"> </w:t>
      </w:r>
      <w:r w:rsidRPr="00F55B76">
        <w:rPr>
          <w:b/>
        </w:rPr>
        <w:t xml:space="preserve">If the RLM-RS and BFD-RS are explicitly configured in </w:t>
      </w:r>
      <w:r w:rsidRPr="00F55B76">
        <w:rPr>
          <w:b/>
          <w:i/>
        </w:rPr>
        <w:t>RadioLinkMonitoringRS</w:t>
      </w:r>
      <w:r w:rsidRPr="00F55B76">
        <w:rPr>
          <w:b/>
        </w:rPr>
        <w:t>, the BFD and RLM will take place regardless the TCI reconfiguration.</w:t>
      </w:r>
      <w:r>
        <w:fldChar w:fldCharType="end"/>
      </w:r>
    </w:p>
    <w:p w:rsidR="008D7B1C" w:rsidRDefault="008D7B1C" w:rsidP="001E7AC0">
      <w:pPr>
        <w:adjustRightInd w:val="0"/>
        <w:snapToGrid w:val="0"/>
        <w:spacing w:before="180" w:after="120"/>
        <w:jc w:val="both"/>
      </w:pPr>
      <w:r>
        <w:fldChar w:fldCharType="begin"/>
      </w:r>
      <w:r>
        <w:instrText xml:space="preserve"> REF _Ref37408890 \h </w:instrText>
      </w:r>
      <w:r>
        <w:fldChar w:fldCharType="separate"/>
      </w:r>
      <w:r w:rsidRPr="00390FE1">
        <w:rPr>
          <w:rFonts w:eastAsia="SimSun" w:cs="Arial"/>
          <w:b/>
          <w:bCs/>
        </w:rPr>
        <w:t xml:space="preserve">Observation </w:t>
      </w:r>
      <w:r>
        <w:rPr>
          <w:rFonts w:eastAsia="SimSun" w:cs="Arial"/>
          <w:b/>
          <w:bCs/>
          <w:noProof/>
        </w:rPr>
        <w:t>2</w:t>
      </w:r>
      <w:r w:rsidRPr="00F55B76">
        <w:rPr>
          <w:rFonts w:eastAsia="SimSun" w:cs="Arial"/>
          <w:b/>
          <w:bCs/>
        </w:rPr>
        <w:t xml:space="preserve">: </w:t>
      </w:r>
      <w:r w:rsidRPr="00F55B76">
        <w:rPr>
          <w:b/>
        </w:rPr>
        <w:t>If the RLM-RS and BFD-RS are implicitly configured, the corresponding beam failure recovery and RLF will be triggered when the new TCI is not available for a long time.</w:t>
      </w:r>
      <w:r>
        <w:fldChar w:fldCharType="end"/>
      </w:r>
    </w:p>
    <w:p w:rsidR="008D7B1C" w:rsidRDefault="008D7B1C" w:rsidP="001E7AC0">
      <w:pPr>
        <w:adjustRightInd w:val="0"/>
        <w:snapToGrid w:val="0"/>
        <w:spacing w:before="180" w:after="120"/>
        <w:jc w:val="both"/>
      </w:pPr>
      <w:r>
        <w:fldChar w:fldCharType="begin"/>
      </w:r>
      <w:r>
        <w:instrText xml:space="preserve"> REF _Ref37408893 \h </w:instrText>
      </w:r>
      <w:r>
        <w:fldChar w:fldCharType="separate"/>
      </w:r>
      <w:r w:rsidRPr="00390FE1">
        <w:rPr>
          <w:rFonts w:eastAsia="SimSun" w:cs="Arial"/>
          <w:b/>
          <w:bCs/>
        </w:rPr>
        <w:t xml:space="preserve">Observation </w:t>
      </w:r>
      <w:r>
        <w:rPr>
          <w:rFonts w:eastAsia="SimSun" w:cs="Arial"/>
          <w:b/>
          <w:bCs/>
          <w:noProof/>
        </w:rPr>
        <w:t>3</w:t>
      </w:r>
      <w:r w:rsidRPr="00F55B76">
        <w:rPr>
          <w:rFonts w:eastAsia="SimSun" w:cs="Arial"/>
          <w:b/>
          <w:bCs/>
        </w:rPr>
        <w:t xml:space="preserve">: </w:t>
      </w:r>
      <w:r>
        <w:rPr>
          <w:rFonts w:eastAsia="SimSun" w:cs="Arial"/>
          <w:b/>
          <w:bCs/>
        </w:rPr>
        <w:t xml:space="preserve">Only one </w:t>
      </w:r>
      <w:r w:rsidRPr="0013646F">
        <w:rPr>
          <w:b/>
        </w:rPr>
        <w:t xml:space="preserve">indication </w:t>
      </w:r>
      <w:r>
        <w:rPr>
          <w:b/>
        </w:rPr>
        <w:t>of beam failure triggered by</w:t>
      </w:r>
      <w:r w:rsidRPr="0013646F">
        <w:rPr>
          <w:b/>
        </w:rPr>
        <w:t xml:space="preserve"> RRC based TCI switch</w:t>
      </w:r>
      <w:r>
        <w:rPr>
          <w:b/>
        </w:rPr>
        <w:t xml:space="preserve"> procedure </w:t>
      </w:r>
      <w:r>
        <w:rPr>
          <w:rFonts w:eastAsia="SimSun" w:cs="Arial"/>
          <w:b/>
          <w:bCs/>
        </w:rPr>
        <w:t>would be useless,</w:t>
      </w:r>
      <w:r>
        <w:rPr>
          <w:b/>
        </w:rPr>
        <w:t xml:space="preserve"> when</w:t>
      </w:r>
      <w:r w:rsidRPr="00051A6B">
        <w:rPr>
          <w:b/>
        </w:rPr>
        <w:t xml:space="preserve"> </w:t>
      </w:r>
      <w:r w:rsidRPr="00051A6B">
        <w:rPr>
          <w:b/>
          <w:i/>
          <w:lang w:val="en-GB" w:eastAsia="ja-JP"/>
        </w:rPr>
        <w:t>beamFailureInstanceMaxCount</w:t>
      </w:r>
      <w:r w:rsidRPr="00051A6B">
        <w:rPr>
          <w:b/>
          <w:lang w:val="en-GB" w:eastAsia="ja-JP"/>
        </w:rPr>
        <w:t xml:space="preserve"> is larger than one</w:t>
      </w:r>
      <w:r w:rsidRPr="00F55B76">
        <w:rPr>
          <w:b/>
        </w:rPr>
        <w:t>.</w:t>
      </w:r>
      <w:r>
        <w:fldChar w:fldCharType="end"/>
      </w:r>
    </w:p>
    <w:p w:rsidR="00FA2619" w:rsidRDefault="002F3AF6" w:rsidP="001E7AC0">
      <w:pPr>
        <w:adjustRightInd w:val="0"/>
        <w:snapToGrid w:val="0"/>
        <w:spacing w:before="180" w:after="120"/>
        <w:jc w:val="both"/>
      </w:pPr>
      <w:r>
        <w:fldChar w:fldCharType="begin"/>
      </w:r>
      <w:r w:rsidR="00FA2619">
        <w:instrText xml:space="preserve"> REF _Ref37020971 \h </w:instrText>
      </w:r>
      <w:r>
        <w:fldChar w:fldCharType="separate"/>
      </w:r>
      <w:r w:rsidR="008D7B1C" w:rsidRPr="003B4CA6">
        <w:rPr>
          <w:rFonts w:ascii="Calibri" w:eastAsia="SimSun" w:hAnsi="Calibri" w:cs="Arial"/>
          <w:b/>
          <w:bCs/>
        </w:rPr>
        <w:t xml:space="preserve">Observation </w:t>
      </w:r>
      <w:r w:rsidR="008D7B1C">
        <w:rPr>
          <w:rFonts w:ascii="Calibri" w:eastAsia="SimSun" w:hAnsi="Calibri" w:cs="Arial"/>
          <w:b/>
          <w:bCs/>
          <w:noProof/>
        </w:rPr>
        <w:t>4</w:t>
      </w:r>
      <w:r w:rsidR="008D7B1C" w:rsidRPr="003B4CA6">
        <w:rPr>
          <w:rFonts w:ascii="Calibri" w:eastAsia="SimSun" w:hAnsi="Calibri" w:cs="Arial"/>
          <w:b/>
          <w:bCs/>
        </w:rPr>
        <w:t xml:space="preserve">: </w:t>
      </w:r>
      <w:r w:rsidR="008D7B1C">
        <w:rPr>
          <w:rFonts w:ascii="Calibri" w:eastAsia="SimSun" w:hAnsi="Calibri" w:cs="Arial"/>
          <w:b/>
          <w:bCs/>
        </w:rPr>
        <w:t xml:space="preserve">Since </w:t>
      </w:r>
      <w:r w:rsidR="008D7B1C">
        <w:rPr>
          <w:b/>
        </w:rPr>
        <w:t>the DL LBT failure is known at network, network can trigger another new TCI state switch</w:t>
      </w:r>
      <w:r w:rsidR="008D7B1C" w:rsidRPr="006D7F9E">
        <w:rPr>
          <w:b/>
        </w:rPr>
        <w:t>, upon exceeding L</w:t>
      </w:r>
      <w:r w:rsidR="008D7B1C" w:rsidRPr="006D7F9E">
        <w:rPr>
          <w:b/>
          <w:vertAlign w:val="subscript"/>
        </w:rPr>
        <w:t>RRC,max</w:t>
      </w:r>
      <w:r w:rsidR="008D7B1C">
        <w:rPr>
          <w:b/>
        </w:rPr>
        <w:t xml:space="preserve">. </w:t>
      </w:r>
      <w:r>
        <w:fldChar w:fldCharType="end"/>
      </w:r>
    </w:p>
    <w:p w:rsidR="00FA2619" w:rsidRDefault="002F3AF6" w:rsidP="001E7AC0">
      <w:pPr>
        <w:adjustRightInd w:val="0"/>
        <w:snapToGrid w:val="0"/>
        <w:spacing w:before="180" w:after="120"/>
        <w:jc w:val="both"/>
        <w:rPr>
          <w:b/>
        </w:rPr>
      </w:pPr>
      <w:r w:rsidRPr="00FA2619">
        <w:rPr>
          <w:b/>
        </w:rPr>
        <w:fldChar w:fldCharType="begin"/>
      </w:r>
      <w:r w:rsidR="00FA2619" w:rsidRPr="00FA2619">
        <w:rPr>
          <w:b/>
        </w:rPr>
        <w:instrText xml:space="preserve"> REF _Ref37020980 \h </w:instrText>
      </w:r>
      <w:r w:rsidR="00FA2619">
        <w:rPr>
          <w:b/>
        </w:rPr>
        <w:instrText xml:space="preserve"> \* MERGEFORMAT </w:instrText>
      </w:r>
      <w:r w:rsidRPr="00FA2619">
        <w:rPr>
          <w:b/>
        </w:rPr>
      </w:r>
      <w:r w:rsidRPr="00FA2619">
        <w:rPr>
          <w:b/>
        </w:rPr>
        <w:fldChar w:fldCharType="separate"/>
      </w:r>
      <w:r w:rsidR="008D7B1C" w:rsidRPr="008D7B1C">
        <w:rPr>
          <w:rFonts w:ascii="Calibri" w:eastAsia="SimSun" w:hAnsi="Calibri" w:cs="Arial"/>
          <w:b/>
          <w:bCs/>
        </w:rPr>
        <w:t xml:space="preserve">Proposal </w:t>
      </w:r>
      <w:r w:rsidR="008D7B1C" w:rsidRPr="008D7B1C">
        <w:rPr>
          <w:rFonts w:ascii="Calibri" w:eastAsia="SimSun" w:hAnsi="Calibri" w:cs="Arial"/>
          <w:b/>
          <w:bCs/>
          <w:noProof/>
        </w:rPr>
        <w:t>1</w:t>
      </w:r>
      <w:r w:rsidR="008D7B1C" w:rsidRPr="008D7B1C">
        <w:rPr>
          <w:rFonts w:ascii="Calibri" w:eastAsia="SimSun" w:hAnsi="Calibri" w:cs="Arial"/>
          <w:b/>
          <w:bCs/>
        </w:rPr>
        <w:t xml:space="preserve">: For RRC based TCI switch, </w:t>
      </w:r>
      <w:r w:rsidR="008D7B1C" w:rsidRPr="008D7B1C">
        <w:rPr>
          <w:b/>
        </w:rPr>
        <w:t>upon exceeding LRRC</w:t>
      </w:r>
      <w:r w:rsidR="008D7B1C" w:rsidRPr="008D7B1C">
        <w:rPr>
          <w:b/>
          <w:vertAlign w:val="subscript"/>
        </w:rPr>
        <w:t>,known,max,</w:t>
      </w:r>
      <w:r w:rsidR="008D7B1C" w:rsidRPr="008D7B1C">
        <w:rPr>
          <w:b/>
        </w:rPr>
        <w:t xml:space="preserve"> the UE may stop the TCI switching procedure.</w:t>
      </w:r>
      <w:r w:rsidRPr="00FA2619">
        <w:rPr>
          <w:b/>
        </w:rPr>
        <w:fldChar w:fldCharType="end"/>
      </w:r>
    </w:p>
    <w:p w:rsidR="00FA2619" w:rsidRDefault="002F3AF6" w:rsidP="001E7AC0">
      <w:pPr>
        <w:adjustRightInd w:val="0"/>
        <w:snapToGrid w:val="0"/>
        <w:spacing w:before="180" w:after="120"/>
        <w:jc w:val="both"/>
        <w:rPr>
          <w:b/>
        </w:rPr>
      </w:pPr>
      <w:r>
        <w:rPr>
          <w:b/>
        </w:rPr>
        <w:fldChar w:fldCharType="begin"/>
      </w:r>
      <w:r w:rsidR="00FA2619">
        <w:rPr>
          <w:b/>
        </w:rPr>
        <w:instrText xml:space="preserve"> REF _Ref37021026 \h </w:instrText>
      </w:r>
      <w:r>
        <w:rPr>
          <w:b/>
        </w:rPr>
      </w:r>
      <w:r>
        <w:rPr>
          <w:b/>
        </w:rPr>
        <w:fldChar w:fldCharType="separate"/>
      </w:r>
      <w:r w:rsidR="008D7B1C" w:rsidRPr="003B4CA6">
        <w:rPr>
          <w:rFonts w:ascii="Calibri" w:eastAsia="SimSun" w:hAnsi="Calibri" w:cs="Arial"/>
          <w:b/>
          <w:bCs/>
        </w:rPr>
        <w:t xml:space="preserve">Observation </w:t>
      </w:r>
      <w:r w:rsidR="008D7B1C">
        <w:rPr>
          <w:rFonts w:ascii="Calibri" w:eastAsia="SimSun" w:hAnsi="Calibri" w:cs="Arial"/>
          <w:b/>
          <w:bCs/>
          <w:noProof/>
        </w:rPr>
        <w:t>5</w:t>
      </w:r>
      <w:r w:rsidR="008D7B1C" w:rsidRPr="003B4CA6">
        <w:rPr>
          <w:rFonts w:ascii="Calibri" w:eastAsia="SimSun" w:hAnsi="Calibri" w:cs="Arial"/>
          <w:b/>
          <w:bCs/>
        </w:rPr>
        <w:t xml:space="preserve">: </w:t>
      </w:r>
      <w:r w:rsidR="008D7B1C">
        <w:rPr>
          <w:rFonts w:ascii="Calibri" w:eastAsia="SimSun" w:hAnsi="Calibri" w:cs="Arial"/>
          <w:b/>
          <w:bCs/>
        </w:rPr>
        <w:t>Beam</w:t>
      </w:r>
      <w:r w:rsidR="008D7B1C">
        <w:rPr>
          <w:b/>
        </w:rPr>
        <w:t xml:space="preserve"> failure is indicated based on beam failure detection procedure, instead of TCI switch procedure.</w:t>
      </w:r>
      <w:r>
        <w:rPr>
          <w:b/>
        </w:rPr>
        <w:fldChar w:fldCharType="end"/>
      </w:r>
    </w:p>
    <w:p w:rsidR="00FA2619" w:rsidRPr="00FA2619" w:rsidRDefault="002F3AF6" w:rsidP="001E7AC0">
      <w:pPr>
        <w:adjustRightInd w:val="0"/>
        <w:snapToGrid w:val="0"/>
        <w:spacing w:before="180" w:after="120"/>
        <w:jc w:val="both"/>
        <w:rPr>
          <w:b/>
        </w:rPr>
      </w:pPr>
      <w:r w:rsidRPr="00FA2619">
        <w:rPr>
          <w:b/>
        </w:rPr>
        <w:fldChar w:fldCharType="begin"/>
      </w:r>
      <w:r w:rsidR="00FA2619" w:rsidRPr="00FA2619">
        <w:rPr>
          <w:b/>
        </w:rPr>
        <w:instrText xml:space="preserve"> REF _Ref37021008 \h  \* MERGEFORMAT </w:instrText>
      </w:r>
      <w:r w:rsidRPr="00FA2619">
        <w:rPr>
          <w:b/>
        </w:rPr>
      </w:r>
      <w:r w:rsidRPr="00FA2619">
        <w:rPr>
          <w:b/>
        </w:rPr>
        <w:fldChar w:fldCharType="separate"/>
      </w:r>
      <w:r w:rsidR="008D7B1C" w:rsidRPr="008D7B1C">
        <w:rPr>
          <w:rFonts w:ascii="Calibri" w:eastAsia="SimSun" w:hAnsi="Calibri" w:cs="Arial"/>
          <w:b/>
          <w:bCs/>
        </w:rPr>
        <w:t xml:space="preserve">Proposal </w:t>
      </w:r>
      <w:r w:rsidR="008D7B1C" w:rsidRPr="008D7B1C">
        <w:rPr>
          <w:rFonts w:ascii="Calibri" w:eastAsia="SimSun" w:hAnsi="Calibri" w:cs="Arial"/>
          <w:b/>
          <w:bCs/>
          <w:noProof/>
        </w:rPr>
        <w:t>2</w:t>
      </w:r>
      <w:r w:rsidR="008D7B1C" w:rsidRPr="008D7B1C">
        <w:rPr>
          <w:rFonts w:ascii="Calibri" w:eastAsia="SimSun" w:hAnsi="Calibri" w:cs="Arial"/>
          <w:b/>
          <w:bCs/>
        </w:rPr>
        <w:t>: LS to RAN1 and RAN2 is required, if TCI switch procedure is introduced to indicate beam failure or trigger beam failure recovery procedure.</w:t>
      </w:r>
      <w:r w:rsidRPr="00FA2619">
        <w:rPr>
          <w:b/>
        </w:rPr>
        <w:fldChar w:fldCharType="end"/>
      </w:r>
    </w:p>
    <w:p w:rsidR="00966005" w:rsidRDefault="002F3AF6" w:rsidP="001E7AC0">
      <w:pPr>
        <w:adjustRightInd w:val="0"/>
        <w:snapToGrid w:val="0"/>
        <w:spacing w:before="180" w:after="120"/>
        <w:jc w:val="both"/>
        <w:rPr>
          <w:shd w:val="pct15" w:color="auto" w:fill="FFFFFF"/>
        </w:rPr>
      </w:pPr>
      <w:r>
        <w:rPr>
          <w:shd w:val="pct15" w:color="auto" w:fill="FFFFFF"/>
        </w:rPr>
        <w:fldChar w:fldCharType="begin"/>
      </w:r>
      <w:r w:rsidR="00966005">
        <w:rPr>
          <w:shd w:val="pct15" w:color="auto" w:fill="FFFFFF"/>
        </w:rPr>
        <w:instrText xml:space="preserve"> REF _Ref31884259 \h </w:instrText>
      </w:r>
      <w:r>
        <w:rPr>
          <w:shd w:val="pct15" w:color="auto" w:fill="FFFFFF"/>
        </w:rPr>
      </w:r>
      <w:r>
        <w:rPr>
          <w:shd w:val="pct15" w:color="auto" w:fill="FFFFFF"/>
        </w:rPr>
        <w:fldChar w:fldCharType="separate"/>
      </w:r>
      <w:r w:rsidR="008D7B1C" w:rsidRPr="003B4CA6">
        <w:rPr>
          <w:rFonts w:ascii="Calibri" w:eastAsia="SimSun" w:hAnsi="Calibri" w:cs="Arial"/>
          <w:b/>
          <w:bCs/>
        </w:rPr>
        <w:t xml:space="preserve">Observation </w:t>
      </w:r>
      <w:r w:rsidR="008D7B1C">
        <w:rPr>
          <w:rFonts w:ascii="Calibri" w:eastAsia="SimSun" w:hAnsi="Calibri" w:cs="Arial"/>
          <w:b/>
          <w:bCs/>
          <w:noProof/>
        </w:rPr>
        <w:t>6</w:t>
      </w:r>
      <w:r w:rsidR="008D7B1C" w:rsidRPr="003B4CA6">
        <w:rPr>
          <w:rFonts w:ascii="Calibri" w:eastAsia="SimSun" w:hAnsi="Calibri" w:cs="Arial"/>
          <w:b/>
          <w:bCs/>
        </w:rPr>
        <w:t xml:space="preserve">: </w:t>
      </w:r>
      <w:r w:rsidR="008D7B1C">
        <w:rPr>
          <w:b/>
        </w:rPr>
        <w:t>Exceeding the maximum period is led by heavy loading on the unlicensed band, and staying in the old TCI will still encounter the high DL LBT failure rate.</w:t>
      </w:r>
      <w:r>
        <w:rPr>
          <w:shd w:val="pct15" w:color="auto" w:fill="FFFFFF"/>
        </w:rPr>
        <w:fldChar w:fldCharType="end"/>
      </w:r>
    </w:p>
    <w:p w:rsidR="00966005" w:rsidRDefault="002F3AF6" w:rsidP="001E7AC0">
      <w:pPr>
        <w:adjustRightInd w:val="0"/>
        <w:snapToGrid w:val="0"/>
        <w:spacing w:before="180" w:after="120"/>
        <w:jc w:val="both"/>
        <w:rPr>
          <w:shd w:val="pct15" w:color="auto" w:fill="FFFFFF"/>
        </w:rPr>
      </w:pPr>
      <w:r>
        <w:rPr>
          <w:shd w:val="pct15" w:color="auto" w:fill="FFFFFF"/>
        </w:rPr>
        <w:fldChar w:fldCharType="begin"/>
      </w:r>
      <w:r w:rsidR="00966005">
        <w:rPr>
          <w:shd w:val="pct15" w:color="auto" w:fill="FFFFFF"/>
        </w:rPr>
        <w:instrText xml:space="preserve"> REF _Ref31884262 \h </w:instrText>
      </w:r>
      <w:r>
        <w:rPr>
          <w:shd w:val="pct15" w:color="auto" w:fill="FFFFFF"/>
        </w:rPr>
      </w:r>
      <w:r>
        <w:rPr>
          <w:shd w:val="pct15" w:color="auto" w:fill="FFFFFF"/>
        </w:rPr>
        <w:fldChar w:fldCharType="separate"/>
      </w:r>
      <w:r w:rsidR="008D7B1C" w:rsidRPr="00166DD9">
        <w:rPr>
          <w:rFonts w:ascii="Calibri" w:eastAsia="SimSun" w:hAnsi="Calibri" w:cs="Arial"/>
          <w:b/>
          <w:bCs/>
        </w:rPr>
        <w:t xml:space="preserve">Observation </w:t>
      </w:r>
      <w:r w:rsidR="008D7B1C">
        <w:rPr>
          <w:rFonts w:ascii="Calibri" w:eastAsia="SimSun" w:hAnsi="Calibri" w:cs="Arial"/>
          <w:b/>
          <w:bCs/>
          <w:noProof/>
        </w:rPr>
        <w:t>7</w:t>
      </w:r>
      <w:r w:rsidR="008D7B1C" w:rsidRPr="00166DD9">
        <w:rPr>
          <w:rFonts w:ascii="Calibri" w:eastAsia="SimSun" w:hAnsi="Calibri" w:cs="Arial"/>
          <w:b/>
          <w:bCs/>
        </w:rPr>
        <w:t xml:space="preserve">: </w:t>
      </w:r>
      <w:r w:rsidR="008D7B1C" w:rsidRPr="00166DD9">
        <w:rPr>
          <w:b/>
        </w:rPr>
        <w:t>Staying in the old TCI state will increase the probability of beam failure</w:t>
      </w:r>
      <w:r>
        <w:rPr>
          <w:shd w:val="pct15" w:color="auto" w:fill="FFFFFF"/>
        </w:rPr>
        <w:fldChar w:fldCharType="end"/>
      </w:r>
    </w:p>
    <w:p w:rsidR="00FA2619" w:rsidRDefault="002F3AF6" w:rsidP="001E7AC0">
      <w:pPr>
        <w:adjustRightInd w:val="0"/>
        <w:snapToGrid w:val="0"/>
        <w:spacing w:before="180" w:after="120"/>
        <w:jc w:val="both"/>
        <w:rPr>
          <w:shd w:val="pct15" w:color="auto" w:fill="FFFFFF"/>
        </w:rPr>
      </w:pPr>
      <w:r>
        <w:rPr>
          <w:shd w:val="pct15" w:color="auto" w:fill="FFFFFF"/>
        </w:rPr>
        <w:fldChar w:fldCharType="begin"/>
      </w:r>
      <w:r w:rsidR="00FA2619">
        <w:rPr>
          <w:shd w:val="pct15" w:color="auto" w:fill="FFFFFF"/>
        </w:rPr>
        <w:instrText xml:space="preserve"> REF _Ref37021048 \h </w:instrText>
      </w:r>
      <w:r>
        <w:rPr>
          <w:shd w:val="pct15" w:color="auto" w:fill="FFFFFF"/>
        </w:rPr>
      </w:r>
      <w:r>
        <w:rPr>
          <w:shd w:val="pct15" w:color="auto" w:fill="FFFFFF"/>
        </w:rPr>
        <w:fldChar w:fldCharType="separate"/>
      </w:r>
      <w:r w:rsidR="008D7B1C" w:rsidRPr="00166DD9">
        <w:rPr>
          <w:rFonts w:ascii="Calibri" w:eastAsia="SimSun" w:hAnsi="Calibri" w:cs="Arial"/>
          <w:b/>
          <w:bCs/>
        </w:rPr>
        <w:t xml:space="preserve">Observation </w:t>
      </w:r>
      <w:r w:rsidR="008D7B1C">
        <w:rPr>
          <w:rFonts w:ascii="Calibri" w:eastAsia="SimSun" w:hAnsi="Calibri" w:cs="Arial"/>
          <w:b/>
          <w:bCs/>
          <w:noProof/>
        </w:rPr>
        <w:t>8</w:t>
      </w:r>
      <w:r w:rsidR="008D7B1C" w:rsidRPr="00166DD9">
        <w:rPr>
          <w:rFonts w:ascii="Calibri" w:eastAsia="SimSun" w:hAnsi="Calibri" w:cs="Arial"/>
          <w:b/>
          <w:bCs/>
        </w:rPr>
        <w:t xml:space="preserve">: </w:t>
      </w:r>
      <w:r w:rsidR="008D7B1C" w:rsidRPr="00166DD9">
        <w:rPr>
          <w:b/>
        </w:rPr>
        <w:t>If UE is allowed to keep trying with the new TCI-state, UE will be able to switch to the new TCI</w:t>
      </w:r>
      <w:r>
        <w:rPr>
          <w:shd w:val="pct15" w:color="auto" w:fill="FFFFFF"/>
        </w:rPr>
        <w:fldChar w:fldCharType="end"/>
      </w:r>
    </w:p>
    <w:p w:rsidR="00FA2619" w:rsidRPr="008D7B1C" w:rsidRDefault="002F3AF6" w:rsidP="001E7AC0">
      <w:pPr>
        <w:adjustRightInd w:val="0"/>
        <w:snapToGrid w:val="0"/>
        <w:spacing w:before="180" w:after="120"/>
        <w:jc w:val="both"/>
        <w:rPr>
          <w:b/>
          <w:shd w:val="pct15" w:color="auto" w:fill="FFFFFF"/>
        </w:rPr>
      </w:pPr>
      <w:r w:rsidRPr="008D7B1C">
        <w:rPr>
          <w:b/>
          <w:shd w:val="pct15" w:color="auto" w:fill="FFFFFF"/>
        </w:rPr>
        <w:fldChar w:fldCharType="begin"/>
      </w:r>
      <w:r w:rsidR="00FA2619" w:rsidRPr="008D7B1C">
        <w:rPr>
          <w:b/>
          <w:shd w:val="pct15" w:color="auto" w:fill="FFFFFF"/>
        </w:rPr>
        <w:instrText xml:space="preserve"> REF _Ref37021057 \h  \* MERGEFORMAT </w:instrText>
      </w:r>
      <w:r w:rsidRPr="008D7B1C">
        <w:rPr>
          <w:b/>
          <w:shd w:val="pct15" w:color="auto" w:fill="FFFFFF"/>
        </w:rPr>
      </w:r>
      <w:r w:rsidRPr="008D7B1C">
        <w:rPr>
          <w:b/>
          <w:shd w:val="pct15" w:color="auto" w:fill="FFFFFF"/>
        </w:rPr>
        <w:fldChar w:fldCharType="separate"/>
      </w:r>
      <w:r w:rsidR="008D7B1C" w:rsidRPr="008D7B1C">
        <w:rPr>
          <w:rFonts w:ascii="Calibri" w:eastAsia="SimSun" w:hAnsi="Calibri" w:cs="Arial"/>
          <w:b/>
          <w:bCs/>
        </w:rPr>
        <w:t xml:space="preserve">Proposal </w:t>
      </w:r>
      <w:r w:rsidR="008D7B1C" w:rsidRPr="008D7B1C">
        <w:rPr>
          <w:rFonts w:ascii="Calibri" w:eastAsia="SimSun" w:hAnsi="Calibri" w:cs="Arial"/>
          <w:b/>
          <w:bCs/>
          <w:noProof/>
        </w:rPr>
        <w:t>3</w:t>
      </w:r>
      <w:r w:rsidR="008D7B1C" w:rsidRPr="008D7B1C">
        <w:rPr>
          <w:rFonts w:ascii="Calibri" w:eastAsia="SimSun" w:hAnsi="Calibri" w:cs="Arial"/>
          <w:b/>
          <w:bCs/>
        </w:rPr>
        <w:t xml:space="preserve">: For MAC-CE based TCI switch, </w:t>
      </w:r>
      <w:r w:rsidR="008D7B1C" w:rsidRPr="008D7B1C">
        <w:rPr>
          <w:b/>
        </w:rPr>
        <w:t>upon exceeding LMAC</w:t>
      </w:r>
      <w:r w:rsidR="008D7B1C" w:rsidRPr="008D7B1C">
        <w:rPr>
          <w:b/>
          <w:vertAlign w:val="subscript"/>
        </w:rPr>
        <w:t>,known,max,</w:t>
      </w:r>
      <w:r w:rsidR="008D7B1C" w:rsidRPr="008D7B1C">
        <w:rPr>
          <w:b/>
        </w:rPr>
        <w:t xml:space="preserve"> the UE is not required to stay on the old TCI</w:t>
      </w:r>
      <w:r w:rsidR="008D7B1C" w:rsidRPr="008D7B1C">
        <w:rPr>
          <w:rFonts w:ascii="Calibri" w:eastAsia="SimSun" w:hAnsi="Calibri" w:cs="Arial"/>
          <w:b/>
          <w:bCs/>
        </w:rPr>
        <w:t xml:space="preserve">, if RAN4 agrees that UE is not required to stay on old </w:t>
      </w:r>
      <w:r w:rsidR="008D7B1C" w:rsidRPr="008D7B1C">
        <w:rPr>
          <w:rFonts w:eastAsia="Malgun Gothic"/>
          <w:b/>
        </w:rPr>
        <w:t>TCI</w:t>
      </w:r>
      <w:r w:rsidR="008D7B1C" w:rsidRPr="008D7B1C">
        <w:rPr>
          <w:rFonts w:ascii="Calibri" w:eastAsia="SimSun" w:hAnsi="Calibri" w:cs="Arial"/>
          <w:b/>
          <w:bCs/>
        </w:rPr>
        <w:t xml:space="preserve"> after THARQ + 3 ms in Rel-15 baseline requirements. </w:t>
      </w:r>
      <w:r w:rsidRPr="008D7B1C">
        <w:rPr>
          <w:b/>
          <w:shd w:val="pct15" w:color="auto" w:fill="FFFFFF"/>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B5473B" w:rsidRDefault="00B5473B" w:rsidP="00B5473B">
      <w:pPr>
        <w:rPr>
          <w:lang w:eastAsia="en-US"/>
        </w:rPr>
      </w:pPr>
      <w:r w:rsidRPr="005470E7">
        <w:rPr>
          <w:lang w:val="en-GB" w:eastAsia="en-US"/>
        </w:rPr>
        <w:t xml:space="preserve">[1] </w:t>
      </w:r>
      <w:r w:rsidR="005470E7" w:rsidRPr="005470E7">
        <w:rPr>
          <w:lang w:val="en-GB" w:eastAsia="en-US"/>
        </w:rPr>
        <w:t>R4-1915777</w:t>
      </w:r>
      <w:r w:rsidRPr="005470E7">
        <w:rPr>
          <w:lang w:val="en-GB" w:eastAsia="en-US"/>
        </w:rPr>
        <w:t xml:space="preserve">, </w:t>
      </w:r>
      <w:r w:rsidRPr="005470E7">
        <w:rPr>
          <w:lang w:eastAsia="en-US"/>
        </w:rPr>
        <w:t xml:space="preserve">WF on </w:t>
      </w:r>
      <w:r w:rsidR="005470E7" w:rsidRPr="005470E7">
        <w:rPr>
          <w:lang w:eastAsia="en-US"/>
        </w:rPr>
        <w:t xml:space="preserve">NR-U </w:t>
      </w:r>
      <w:r w:rsidRPr="005470E7">
        <w:rPr>
          <w:lang w:eastAsia="en-US"/>
        </w:rPr>
        <w:t xml:space="preserve">RRM </w:t>
      </w:r>
      <w:r w:rsidR="005470E7" w:rsidRPr="005470E7">
        <w:rPr>
          <w:lang w:eastAsia="en-US"/>
        </w:rPr>
        <w:t>Requirements</w:t>
      </w:r>
      <w:r w:rsidRPr="005470E7">
        <w:rPr>
          <w:lang w:eastAsia="en-US"/>
        </w:rPr>
        <w:t>, Ericsson.</w:t>
      </w:r>
    </w:p>
    <w:p w:rsidR="00545225" w:rsidRPr="00545225" w:rsidRDefault="00EE223C" w:rsidP="00545225">
      <w:pPr>
        <w:rPr>
          <w:lang w:eastAsia="en-US"/>
        </w:rPr>
      </w:pPr>
      <w:r>
        <w:rPr>
          <w:lang w:eastAsia="en-US"/>
        </w:rPr>
        <w:t xml:space="preserve">[2] </w:t>
      </w:r>
      <w:r w:rsidR="00545225" w:rsidRPr="00545225">
        <w:rPr>
          <w:lang w:eastAsia="en-US"/>
        </w:rPr>
        <w:t>R4-2002283 WF on NR-U RRM Requirements (Part 1), Ericsson.</w:t>
      </w:r>
    </w:p>
    <w:p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581" w:rsidRDefault="000F4581">
      <w:r>
        <w:separator/>
      </w:r>
    </w:p>
  </w:endnote>
  <w:endnote w:type="continuationSeparator" w:id="0">
    <w:p w:rsidR="000F4581" w:rsidRDefault="000F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581" w:rsidRDefault="000F4581">
      <w:r>
        <w:separator/>
      </w:r>
    </w:p>
  </w:footnote>
  <w:footnote w:type="continuationSeparator" w:id="0">
    <w:p w:rsidR="000F4581" w:rsidRDefault="000F45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9"/>
  </w:num>
  <w:num w:numId="5">
    <w:abstractNumId w:val="5"/>
  </w:num>
  <w:num w:numId="6">
    <w:abstractNumId w:val="2"/>
  </w:num>
  <w:num w:numId="7">
    <w:abstractNumId w:val="8"/>
  </w:num>
  <w:num w:numId="8">
    <w:abstractNumId w:val="6"/>
  </w:num>
  <w:num w:numId="9">
    <w:abstractNumId w:val="7"/>
  </w:num>
  <w:num w:numId="10">
    <w:abstractNumId w:val="0"/>
  </w:num>
  <w:num w:numId="11">
    <w:abstractNumId w:val="3"/>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7AA"/>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B1C"/>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7A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F67A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F67A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509D5-B499-4316-845C-E3027B3D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2020-04-08T02:37:00Z</dcterms:created>
  <dcterms:modified xsi:type="dcterms:W3CDTF">2020-04-10T06:32:00Z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